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8F19ABC" w14:textId="77777777" w:rsidR="00F85DFD" w:rsidRPr="006C6C4F" w:rsidRDefault="00085C75" w:rsidP="003204AA">
      <w:pPr>
        <w:pStyle w:val="MBT"/>
        <w:rPr>
          <w:rFonts w:eastAsia="Calibri"/>
          <w:lang w:val="en-GB"/>
        </w:rPr>
        <w:sectPr w:rsidR="00F85DFD" w:rsidRPr="006C6C4F" w:rsidSect="00351E21">
          <w:footerReference w:type="first" r:id="rId9"/>
          <w:type w:val="continuous"/>
          <w:pgSz w:w="11906" w:h="16838" w:code="9"/>
          <w:pgMar w:top="720" w:right="720" w:bottom="720" w:left="720" w:header="709" w:footer="709" w:gutter="0"/>
          <w:cols w:space="708"/>
          <w:docGrid w:linePitch="360"/>
        </w:sectPr>
      </w:pPr>
      <w:r w:rsidRPr="006C6C4F">
        <w:rPr>
          <w:rFonts w:eastAsia="Calibri"/>
          <w:noProof/>
          <w:lang w:val="fr-BE" w:eastAsia="fr-BE"/>
        </w:rPr>
        <mc:AlternateContent>
          <mc:Choice Requires="wpg">
            <w:drawing>
              <wp:anchor distT="0" distB="0" distL="114300" distR="114300" simplePos="0" relativeHeight="251665920" behindDoc="0" locked="0" layoutInCell="1" allowOverlap="1" wp14:anchorId="6156F92C" wp14:editId="60A1FB6D">
                <wp:simplePos x="0" y="0"/>
                <wp:positionH relativeFrom="column">
                  <wp:posOffset>628650</wp:posOffset>
                </wp:positionH>
                <wp:positionV relativeFrom="paragraph">
                  <wp:posOffset>76200</wp:posOffset>
                </wp:positionV>
                <wp:extent cx="6144039" cy="4363299"/>
                <wp:effectExtent l="0" t="0" r="28575" b="0"/>
                <wp:wrapNone/>
                <wp:docPr id="25" name="Group 25"/>
                <wp:cNvGraphicFramePr/>
                <a:graphic xmlns:a="http://schemas.openxmlformats.org/drawingml/2006/main">
                  <a:graphicData uri="http://schemas.microsoft.com/office/word/2010/wordprocessingGroup">
                    <wpg:wgp>
                      <wpg:cNvGrpSpPr/>
                      <wpg:grpSpPr>
                        <a:xfrm>
                          <a:off x="0" y="0"/>
                          <a:ext cx="6144039" cy="4363299"/>
                          <a:chOff x="-824616" y="0"/>
                          <a:chExt cx="6144039" cy="4363299"/>
                        </a:xfrm>
                      </wpg:grpSpPr>
                      <wps:wsp>
                        <wps:cNvPr id="18" name="Straight Connector 5"/>
                        <wps:cNvCnPr>
                          <a:cxnSpLocks noChangeShapeType="1"/>
                        </wps:cNvCnPr>
                        <wps:spPr bwMode="auto">
                          <a:xfrm flipV="1">
                            <a:off x="5319423" y="39757"/>
                            <a:ext cx="0" cy="2825262"/>
                          </a:xfrm>
                          <a:prstGeom prst="line">
                            <a:avLst/>
                          </a:prstGeom>
                          <a:noFill/>
                          <a:ln w="38100" algn="ctr">
                            <a:solidFill>
                              <a:schemeClr val="tx2"/>
                            </a:solidFill>
                            <a:round/>
                            <a:headEnd/>
                            <a:tailEnd/>
                          </a:ln>
                          <a:extLst>
                            <a:ext uri="{909E8E84-426E-40DD-AFC4-6F175D3DCCD1}">
                              <a14:hiddenFill xmlns:a14="http://schemas.microsoft.com/office/drawing/2010/main">
                                <a:noFill/>
                              </a14:hiddenFill>
                            </a:ext>
                          </a:extLst>
                        </wps:spPr>
                        <wps:bodyPr/>
                      </wps:wsp>
                      <wps:wsp>
                        <wps:cNvPr id="19" name="Text Box 6"/>
                        <wps:cNvSpPr txBox="1">
                          <a:spLocks noChangeArrowheads="1"/>
                        </wps:cNvSpPr>
                        <wps:spPr bwMode="auto">
                          <a:xfrm>
                            <a:off x="-824616" y="0"/>
                            <a:ext cx="5881334" cy="24647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9CE998" w14:textId="77777777" w:rsidR="009F3034" w:rsidRPr="00590213" w:rsidRDefault="009F3034" w:rsidP="00590213">
                              <w:pPr>
                                <w:spacing w:after="160" w:line="259" w:lineRule="auto"/>
                                <w:jc w:val="right"/>
                                <w:rPr>
                                  <w:rFonts w:ascii="Century Gothic" w:eastAsia="Calibri" w:hAnsi="Century Gothic"/>
                                  <w:b/>
                                  <w:sz w:val="52"/>
                                  <w:szCs w:val="56"/>
                                  <w:lang w:eastAsia="en-US"/>
                                </w:rPr>
                              </w:pPr>
                              <w:r w:rsidRPr="00E36E1A">
                                <w:rPr>
                                  <w:rFonts w:ascii="Century Gothic" w:eastAsia="Calibri" w:hAnsi="Century Gothic"/>
                                  <w:b/>
                                  <w:bCs/>
                                  <w:i/>
                                  <w:sz w:val="52"/>
                                  <w:szCs w:val="56"/>
                                  <w:lang w:eastAsia="en-US"/>
                                </w:rPr>
                                <w:t>Factual analysis of Member States Investors’ Schemes granting citizenship or residence to third-country nationals investing in the said Member State</w:t>
                              </w:r>
                            </w:p>
                            <w:p w14:paraId="67BA489A" w14:textId="77777777" w:rsidR="009F3034" w:rsidRPr="00B35152" w:rsidRDefault="009F3034" w:rsidP="00A57A4A">
                              <w:pPr>
                                <w:jc w:val="right"/>
                                <w:rPr>
                                  <w:rFonts w:ascii="Century Gothic" w:hAnsi="Century Gothic"/>
                                  <w:b/>
                                  <w:sz w:val="48"/>
                                  <w:szCs w:val="56"/>
                                </w:rPr>
                              </w:pPr>
                            </w:p>
                          </w:txbxContent>
                        </wps:txbx>
                        <wps:bodyPr rot="0" vert="horz" wrap="square" lIns="91440" tIns="45720" rIns="91440" bIns="45720" anchor="t" anchorCtr="0" upright="1">
                          <a:noAutofit/>
                        </wps:bodyPr>
                      </wps:wsp>
                      <wps:wsp>
                        <wps:cNvPr id="20" name="Text Box 7"/>
                        <wps:cNvSpPr txBox="1">
                          <a:spLocks noChangeArrowheads="1"/>
                        </wps:cNvSpPr>
                        <wps:spPr bwMode="auto">
                          <a:xfrm>
                            <a:off x="-824616" y="2464420"/>
                            <a:ext cx="5883794" cy="1088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59B1F0" w14:textId="77777777" w:rsidR="009F3034" w:rsidRPr="00590213" w:rsidRDefault="009F3034" w:rsidP="00590213">
                              <w:pPr>
                                <w:jc w:val="right"/>
                                <w:rPr>
                                  <w:rFonts w:ascii="Century Gothic" w:hAnsi="Century Gothic"/>
                                  <w:b/>
                                  <w:i/>
                                  <w:sz w:val="48"/>
                                  <w:szCs w:val="48"/>
                                </w:rPr>
                              </w:pPr>
                              <w:r w:rsidRPr="00590213">
                                <w:rPr>
                                  <w:rFonts w:ascii="Century Gothic" w:hAnsi="Century Gothic"/>
                                  <w:b/>
                                  <w:i/>
                                  <w:sz w:val="48"/>
                                  <w:szCs w:val="48"/>
                                </w:rPr>
                                <w:t>Deliverable B.I</w:t>
                              </w:r>
                              <w:r>
                                <w:rPr>
                                  <w:rFonts w:ascii="Century Gothic" w:hAnsi="Century Gothic"/>
                                  <w:b/>
                                  <w:i/>
                                  <w:sz w:val="48"/>
                                  <w:szCs w:val="48"/>
                                </w:rPr>
                                <w:t>I</w:t>
                              </w:r>
                              <w:r w:rsidRPr="00590213">
                                <w:rPr>
                                  <w:rFonts w:ascii="Century Gothic" w:hAnsi="Century Gothic"/>
                                  <w:b/>
                                  <w:i/>
                                  <w:sz w:val="48"/>
                                  <w:szCs w:val="48"/>
                                </w:rPr>
                                <w:t xml:space="preserve"> Investors’ </w:t>
                              </w:r>
                              <w:r>
                                <w:rPr>
                                  <w:rFonts w:ascii="Century Gothic" w:hAnsi="Century Gothic"/>
                                  <w:b/>
                                  <w:i/>
                                  <w:sz w:val="48"/>
                                  <w:szCs w:val="48"/>
                                </w:rPr>
                                <w:t>Residence</w:t>
                              </w:r>
                              <w:r w:rsidRPr="00590213">
                                <w:rPr>
                                  <w:rFonts w:ascii="Century Gothic" w:hAnsi="Century Gothic"/>
                                  <w:b/>
                                  <w:i/>
                                  <w:sz w:val="48"/>
                                  <w:szCs w:val="48"/>
                                </w:rPr>
                                <w:t xml:space="preserve"> Schemes in </w:t>
                              </w:r>
                              <w:r>
                                <w:rPr>
                                  <w:rFonts w:ascii="Century Gothic" w:hAnsi="Century Gothic"/>
                                  <w:b/>
                                  <w:i/>
                                  <w:sz w:val="48"/>
                                  <w:szCs w:val="48"/>
                                </w:rPr>
                                <w:t>Lithuania</w:t>
                              </w:r>
                            </w:p>
                          </w:txbxContent>
                        </wps:txbx>
                        <wps:bodyPr rot="0" vert="horz" wrap="square" lIns="91440" tIns="45720" rIns="91440" bIns="45720" anchor="t" anchorCtr="0" upright="1">
                          <a:noAutofit/>
                        </wps:bodyPr>
                      </wps:wsp>
                      <wps:wsp>
                        <wps:cNvPr id="24" name="Text Box 7"/>
                        <wps:cNvSpPr txBox="1">
                          <a:spLocks noChangeArrowheads="1"/>
                        </wps:cNvSpPr>
                        <wps:spPr bwMode="auto">
                          <a:xfrm>
                            <a:off x="243177" y="3840729"/>
                            <a:ext cx="4884779" cy="5225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57045D" w14:textId="77777777" w:rsidR="009F3034" w:rsidRPr="001D7DA5" w:rsidRDefault="009F3034" w:rsidP="001D7DA5">
                              <w:pPr>
                                <w:jc w:val="right"/>
                                <w:rPr>
                                  <w:rFonts w:ascii="Century Gothic" w:hAnsi="Century Gothic"/>
                                  <w:bCs/>
                                  <w:i/>
                                </w:rPr>
                              </w:pPr>
                              <w:r w:rsidRPr="001D7DA5">
                                <w:rPr>
                                  <w:rFonts w:ascii="Century Gothic" w:hAnsi="Century Gothic"/>
                                  <w:bCs/>
                                  <w:i/>
                                </w:rPr>
                                <w:t>JUST/2016/RCIT/FW/RIGH/0152 (2017/06)</w:t>
                              </w:r>
                            </w:p>
                            <w:p w14:paraId="294F389B" w14:textId="77777777" w:rsidR="009F3034" w:rsidRPr="00BB78FE" w:rsidRDefault="009F3034" w:rsidP="008652C9">
                              <w:pPr>
                                <w:jc w:val="right"/>
                                <w:rPr>
                                  <w:rFonts w:ascii="Century Gothic" w:hAnsi="Century Gothic"/>
                                  <w:i/>
                                </w:rPr>
                              </w:pP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25" o:spid="_x0000_s1026" style="position:absolute;left:0;text-align:left;margin-left:49.5pt;margin-top:6pt;width:483.8pt;height:343.55pt;z-index:251665920;mso-width-relative:margin;mso-height-relative:margin" coordorigin="-8246" coordsize="61440,43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KAlKgQAADsQAAAOAAAAZHJzL2Uyb0RvYy54bWzsV8lu5DYQvQfIPxC6y62FWmF5YPdiBHAS&#10;A3ZyZ2tHJFIh2ZacIP+eIrV0t2NPghkkmQGsg0RSZKnq8b0q6vLD0DboKeeiZjQx7AvLQDlNWVbT&#10;MjF+etyZoYGEJDQjDaN5Yjznwvhw9e03l30X5w6rWJPlHIERKuK+S4xKyi5erURa5S0RF6zLKbws&#10;GG+JhC4vVxknPVhvm5VjWf6qZzzrOEtzIWB0M740rrT9oshT+WNRiFyiJjHAN6nvXN/36r66uiRx&#10;yUlX1enkBvkEL1pSU/joYmpDJEEHXv/FVFunnAlWyIuUtStWFHWa6xggGtt6Ec0tZ4dOx1LGfdkt&#10;MAG0L3D6ZLPpD0/3HNVZYjiegShpYY/0ZxH0AZy+K2OYc8u7h+6eTwPl2FPxDgVv1RMiQYOG9XmB&#10;NR8kSmHQtzG23MhAKbzDru86UTQCn1awO2qdGTrYt30DHVen1fZv1q/mz6+Ul4tTfQdUEke0xOeh&#10;9VCRLtebIBQSE1o28HpE60FyUpeVRGtGKfCNcTQhp+ev6T1XAKUDfejuWPqLQJStK0LLXFt+fO4A&#10;clvhAWGcLFEdAZijff89y2AOOUimOaYwR0VTdz+rhSfoe64dYcfVKLpR4AUjyvM+AP/VDjih4zm+&#10;o784I0jijgt5m7MWqUZiNDVVQZOYPN0JqZw7TlHDlO3qpoFxEjcU9YnhhrYFHyBNCXkglVwvFqyp&#10;MzVRzdOaztcNR08E1CiH2YWzWUB5mmm7VU6y7dSWpG7GNvjRUGUOogLPptaotd8jK9qG2xCb2PG3&#10;JrY2G/N6t8amv7MDb+Nu1uuN/YfyzMZxVWdZTpVzs+5t/M+YMmWgUbGL8hdEVufWNXTg7PzUTuut&#10;VrurFCbiPcuetbr0OJB3HP73WQyiHFn8qEhywwbkK15MRFSSR3KA4Zlo4gWFrzlnvdooENkZh9XS&#10;0c7bHFZ7N+WNV/Q/s9YLQ9t18cRd7OPACz/OXQ4q1PR7g7tnfBO83C+c3Olrsn42beTcyR5/jIW2&#10;g60bJzJ3fhiYeIc9Mwqs0LTs6CbyLRzhze6chXegts9noZJh5EHeVsCeeX8WpKWv14JsawnFuKnb&#10;xAiXSSR+S4iLiJT7M73n52s0l8N+mNg1Mh5xBrkG0gacIKBRMf6bgXqoxokhfj0Qnhuo+Y4CtyJV&#10;QqB86w72Agc6/PTN/vQNoSmYghQD+Ug313Is+YeOq1Q9s5mya8ipRa3z21GHEILq/HcyVNG8kKFO&#10;3f+rDKEgYwye6Vx8IkY3iCYx2lYYYksXu6UUH6vEVEjexfgFi1Ef/HTePrL/XZPjcRhI/kVo0sGu&#10;HQTjmQ7kFjjT2XmWJAYRBsF0uvYcxwu0Zt8VqX8TTw5pX0V5HLmnku7XpEiol/oPVRf/6W9a/QKf&#10;9nVVPf7zX/0JAAD//wMAUEsDBBQABgAIAAAAIQDEn7uq4AAAAAoBAAAPAAAAZHJzL2Rvd25yZXYu&#10;eG1sTI9BS8NAEIXvgv9hGcGb3aTiYmI2pRT1VARbQbxNs9MkNLsbstsk/fdOT3oaZt7jzfeK1Ww7&#10;MdIQWu80pIsEBLnKm9bVGr72bw/PIEJEZ7DzjjRcKMCqvL0pMDd+cp807mItOMSFHDU0Mfa5lKFq&#10;yGJY+J4ca0c/WIy8DrU0A04cbju5TBIlLbaOPzTY06ah6rQ7Ww3vE07rx/R13J6Om8vP/unje5uS&#10;1vd38/oFRKQ5/pnhis/oUDLTwZ+dCaLTkGVcJfJ9yfOqJ0opEAcNKstSkGUh/1cofwEAAP//AwBQ&#10;SwECLQAUAAYACAAAACEAtoM4kv4AAADhAQAAEwAAAAAAAAAAAAAAAAAAAAAAW0NvbnRlbnRfVHlw&#10;ZXNdLnhtbFBLAQItABQABgAIAAAAIQA4/SH/1gAAAJQBAAALAAAAAAAAAAAAAAAAAC8BAABfcmVs&#10;cy8ucmVsc1BLAQItABQABgAIAAAAIQD4QKAlKgQAADsQAAAOAAAAAAAAAAAAAAAAAC4CAABkcnMv&#10;ZTJvRG9jLnhtbFBLAQItABQABgAIAAAAIQDEn7uq4AAAAAoBAAAPAAAAAAAAAAAAAAAAAIQGAABk&#10;cnMvZG93bnJldi54bWxQSwUGAAAAAAQABADzAAAAkQcAAAAA&#10;">
                <v:line id="Straight Connector 5" o:spid="_x0000_s1027" style="position:absolute;flip:y;visibility:visible;mso-wrap-style:square" from="53194,397" to="53194,28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9/fsUAAADbAAAADwAAAGRycy9kb3ducmV2LnhtbESPQUsDQQyF74L/YYjQi9jZKmq7dlqK&#10;ICz0ZNuDx7CT7i7uZJaZtN36681B8JbwXt77slyPoTdnSrmL7GA2LcAQ19F33Dg47D8e5mCyIHvs&#10;I5ODK2VYr25vllj6eOFPOu+kMRrCuUQHrchQWpvrlgLmaRyIVTvGFFB0TY31CS8aHnr7WBQvNmDH&#10;2tDiQO8t1d+7U3BQ3Z+2i316bYbj+HPYfhXy/FSJc5O7cfMGRmiUf/PfdeUVX2H1Fx3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q9/fsUAAADbAAAADwAAAAAAAAAA&#10;AAAAAAChAgAAZHJzL2Rvd25yZXYueG1sUEsFBgAAAAAEAAQA+QAAAJMDAAAAAA==&#10;" strokecolor="#7ab800 [3215]" strokeweight="3pt"/>
                <v:shapetype id="_x0000_t202" coordsize="21600,21600" o:spt="202" path="m,l,21600r21600,l21600,xe">
                  <v:stroke joinstyle="miter"/>
                  <v:path gradientshapeok="t" o:connecttype="rect"/>
                </v:shapetype>
                <v:shape id="Text Box 6" o:spid="_x0000_s1028" type="#_x0000_t202" style="position:absolute;left:-8246;width:58813;height:246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tS4L8A&#10;AADbAAAADwAAAGRycy9kb3ducmV2LnhtbERP24rCMBB9F/yHMIIvsk2V9VaNsgqKr7p+wLQZ22Iz&#10;KU3W1r83C4JvczjXWW87U4kHNa60rGAcxSCIM6tLzhVcfw9fCxDOI2usLJOCJznYbvq9NSbatnym&#10;x8XnIoSwS1BB4X2dSOmyggy6yNbEgbvZxqAPsMmlbrAN4aaSkzieSYMlh4YCa9oXlN0vf0bB7dSO&#10;pss2Pfrr/Pw922E5T+1TqeGg+1mB8NT5j/jtPukwfwn/v4QD5O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W1LgvwAAANsAAAAPAAAAAAAAAAAAAAAAAJgCAABkcnMvZG93bnJl&#10;di54bWxQSwUGAAAAAAQABAD1AAAAhAMAAAAA&#10;" stroked="f">
                  <v:textbox>
                    <w:txbxContent>
                      <w:p w14:paraId="5D9CE998" w14:textId="77777777" w:rsidR="009F3034" w:rsidRPr="00590213" w:rsidRDefault="009F3034" w:rsidP="00590213">
                        <w:pPr>
                          <w:spacing w:after="160" w:line="259" w:lineRule="auto"/>
                          <w:jc w:val="right"/>
                          <w:rPr>
                            <w:rFonts w:ascii="Century Gothic" w:eastAsia="Calibri" w:hAnsi="Century Gothic"/>
                            <w:b/>
                            <w:sz w:val="52"/>
                            <w:szCs w:val="56"/>
                            <w:lang w:eastAsia="en-US"/>
                          </w:rPr>
                        </w:pPr>
                        <w:r w:rsidRPr="00E36E1A">
                          <w:rPr>
                            <w:rFonts w:ascii="Century Gothic" w:eastAsia="Calibri" w:hAnsi="Century Gothic"/>
                            <w:b/>
                            <w:bCs/>
                            <w:i/>
                            <w:sz w:val="52"/>
                            <w:szCs w:val="56"/>
                            <w:lang w:eastAsia="en-US"/>
                          </w:rPr>
                          <w:t>Factual analysis of Member States Investors’ Schemes granting citizenship or residence to third-country nationals investing in the said Member State</w:t>
                        </w:r>
                      </w:p>
                      <w:p w14:paraId="67BA489A" w14:textId="77777777" w:rsidR="009F3034" w:rsidRPr="00B35152" w:rsidRDefault="009F3034" w:rsidP="00A57A4A">
                        <w:pPr>
                          <w:jc w:val="right"/>
                          <w:rPr>
                            <w:rFonts w:ascii="Century Gothic" w:hAnsi="Century Gothic"/>
                            <w:b/>
                            <w:sz w:val="48"/>
                            <w:szCs w:val="56"/>
                          </w:rPr>
                        </w:pPr>
                      </w:p>
                    </w:txbxContent>
                  </v:textbox>
                </v:shape>
                <v:shape id="Text Box 7" o:spid="_x0000_s1029" type="#_x0000_t202" style="position:absolute;left:-8246;top:24644;width:58837;height:108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0xwLwA&#10;AADbAAAADwAAAGRycy9kb3ducmV2LnhtbERPSwrCMBDdC94hjOBGNFX8VqOooLj1c4CxGdtiMylN&#10;tPX2ZiG4fLz/atOYQrypcrllBcNBBII4sTrnVMHteujPQTiPrLGwTAo+5GCzbrdWGGtb85neF5+K&#10;EMIuRgWZ92UspUsyMugGtiQO3MNWBn2AVSp1hXUIN4UcRdFUGsw5NGRY0j6j5Hl5GQWPU92bLOr7&#10;0d9m5/F0h/nsbj9KdTvNdgnCU+P/4p/7pBWMwvr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DDTHAvAAAANsAAAAPAAAAAAAAAAAAAAAAAJgCAABkcnMvZG93bnJldi54&#10;bWxQSwUGAAAAAAQABAD1AAAAgQMAAAAA&#10;" stroked="f">
                  <v:textbox>
                    <w:txbxContent>
                      <w:p w14:paraId="0259B1F0" w14:textId="77777777" w:rsidR="009F3034" w:rsidRPr="00590213" w:rsidRDefault="009F3034" w:rsidP="00590213">
                        <w:pPr>
                          <w:jc w:val="right"/>
                          <w:rPr>
                            <w:rFonts w:ascii="Century Gothic" w:hAnsi="Century Gothic"/>
                            <w:b/>
                            <w:i/>
                            <w:sz w:val="48"/>
                            <w:szCs w:val="48"/>
                          </w:rPr>
                        </w:pPr>
                        <w:r w:rsidRPr="00590213">
                          <w:rPr>
                            <w:rFonts w:ascii="Century Gothic" w:hAnsi="Century Gothic"/>
                            <w:b/>
                            <w:i/>
                            <w:sz w:val="48"/>
                            <w:szCs w:val="48"/>
                          </w:rPr>
                          <w:t>Deliverable B.I</w:t>
                        </w:r>
                        <w:r>
                          <w:rPr>
                            <w:rFonts w:ascii="Century Gothic" w:hAnsi="Century Gothic"/>
                            <w:b/>
                            <w:i/>
                            <w:sz w:val="48"/>
                            <w:szCs w:val="48"/>
                          </w:rPr>
                          <w:t>I</w:t>
                        </w:r>
                        <w:r w:rsidRPr="00590213">
                          <w:rPr>
                            <w:rFonts w:ascii="Century Gothic" w:hAnsi="Century Gothic"/>
                            <w:b/>
                            <w:i/>
                            <w:sz w:val="48"/>
                            <w:szCs w:val="48"/>
                          </w:rPr>
                          <w:t xml:space="preserve"> Investors’ </w:t>
                        </w:r>
                        <w:r>
                          <w:rPr>
                            <w:rFonts w:ascii="Century Gothic" w:hAnsi="Century Gothic"/>
                            <w:b/>
                            <w:i/>
                            <w:sz w:val="48"/>
                            <w:szCs w:val="48"/>
                          </w:rPr>
                          <w:t>Residence</w:t>
                        </w:r>
                        <w:r w:rsidRPr="00590213">
                          <w:rPr>
                            <w:rFonts w:ascii="Century Gothic" w:hAnsi="Century Gothic"/>
                            <w:b/>
                            <w:i/>
                            <w:sz w:val="48"/>
                            <w:szCs w:val="48"/>
                          </w:rPr>
                          <w:t xml:space="preserve"> Schemes in </w:t>
                        </w:r>
                        <w:r>
                          <w:rPr>
                            <w:rFonts w:ascii="Century Gothic" w:hAnsi="Century Gothic"/>
                            <w:b/>
                            <w:i/>
                            <w:sz w:val="48"/>
                            <w:szCs w:val="48"/>
                          </w:rPr>
                          <w:t>Lithuania</w:t>
                        </w:r>
                      </w:p>
                    </w:txbxContent>
                  </v:textbox>
                </v:shape>
                <v:shape id="Text Box 7" o:spid="_x0000_s1030" type="#_x0000_t202" style="position:absolute;left:2431;top:38407;width:48848;height:52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Y3w8QA&#10;AADbAAAADwAAAGRycy9kb3ducmV2LnhtbESP3WrCQBSE7wu+w3KE3hTdKKk/0U1oCxZvoz7AMXtM&#10;gtmzIbs1ydt3hUIvh5n5htlng2nEgzpXW1awmEcgiAuray4VXM6H2QaE88gaG8ukYCQHWTp52WOi&#10;bc85PU6+FAHCLkEFlfdtIqUrKjLo5rYlDt7NdgZ9kF0pdYd9gJtGLqNoJQ3WHBYqbOmrouJ++jEK&#10;bsf+7X3bX7/9ZZ3Hq0+s11c7KvU6HT52IDwN/j/81z5qBcsYnl/CD5Dp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2N8PEAAAA2wAAAA8AAAAAAAAAAAAAAAAAmAIAAGRycy9k&#10;b3ducmV2LnhtbFBLBQYAAAAABAAEAPUAAACJAwAAAAA=&#10;" stroked="f">
                  <v:textbox>
                    <w:txbxContent>
                      <w:p w14:paraId="5457045D" w14:textId="77777777" w:rsidR="009F3034" w:rsidRPr="001D7DA5" w:rsidRDefault="009F3034" w:rsidP="001D7DA5">
                        <w:pPr>
                          <w:jc w:val="right"/>
                          <w:rPr>
                            <w:rFonts w:ascii="Century Gothic" w:hAnsi="Century Gothic"/>
                            <w:bCs/>
                            <w:i/>
                          </w:rPr>
                        </w:pPr>
                        <w:r w:rsidRPr="001D7DA5">
                          <w:rPr>
                            <w:rFonts w:ascii="Century Gothic" w:hAnsi="Century Gothic"/>
                            <w:bCs/>
                            <w:i/>
                          </w:rPr>
                          <w:t>JUST/2016/RCIT/FW/RIGH/0152 (2017/06)</w:t>
                        </w:r>
                      </w:p>
                      <w:p w14:paraId="294F389B" w14:textId="77777777" w:rsidR="009F3034" w:rsidRPr="00BB78FE" w:rsidRDefault="009F3034" w:rsidP="008652C9">
                        <w:pPr>
                          <w:jc w:val="right"/>
                          <w:rPr>
                            <w:rFonts w:ascii="Century Gothic" w:hAnsi="Century Gothic"/>
                            <w:i/>
                          </w:rPr>
                        </w:pPr>
                      </w:p>
                    </w:txbxContent>
                  </v:textbox>
                </v:shape>
              </v:group>
            </w:pict>
          </mc:Fallback>
        </mc:AlternateContent>
      </w:r>
      <w:r w:rsidR="006366BB" w:rsidRPr="006C6C4F">
        <w:rPr>
          <w:rFonts w:eastAsia="Calibri"/>
          <w:noProof/>
          <w:lang w:val="fr-BE" w:eastAsia="fr-BE"/>
        </w:rPr>
        <w:drawing>
          <wp:anchor distT="0" distB="0" distL="114300" distR="114300" simplePos="0" relativeHeight="251656704" behindDoc="0" locked="1" layoutInCell="1" allowOverlap="1" wp14:anchorId="41377AC3" wp14:editId="086D4F7A">
            <wp:simplePos x="0" y="0"/>
            <wp:positionH relativeFrom="column">
              <wp:posOffset>5307330</wp:posOffset>
            </wp:positionH>
            <wp:positionV relativeFrom="page">
              <wp:posOffset>8688070</wp:posOffset>
            </wp:positionV>
            <wp:extent cx="1486800" cy="1483200"/>
            <wp:effectExtent l="19050" t="19050" r="18415" b="22225"/>
            <wp:wrapNone/>
            <wp:docPr id="14" name="Picture 0" descr="LAST-LOGO- with law-policy-in-wh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AST-LOGO- with law-policy-in-white.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86800" cy="1483200"/>
                    </a:xfrm>
                    <a:prstGeom prst="rect">
                      <a:avLst/>
                    </a:prstGeom>
                    <a:noFill/>
                    <a:ln w="6350">
                      <a:solidFill>
                        <a:srgbClr val="0D0D0D"/>
                      </a:solidFill>
                      <a:miter lim="800000"/>
                      <a:headEnd/>
                      <a:tailEnd/>
                    </a:ln>
                  </pic:spPr>
                </pic:pic>
              </a:graphicData>
            </a:graphic>
            <wp14:sizeRelH relativeFrom="page">
              <wp14:pctWidth>0</wp14:pctWidth>
            </wp14:sizeRelH>
            <wp14:sizeRelV relativeFrom="page">
              <wp14:pctHeight>0</wp14:pctHeight>
            </wp14:sizeRelV>
          </wp:anchor>
        </w:drawing>
      </w:r>
      <w:r w:rsidR="006366BB" w:rsidRPr="006C6C4F">
        <w:rPr>
          <w:rFonts w:eastAsia="Calibri"/>
          <w:noProof/>
          <w:lang w:val="fr-BE" w:eastAsia="fr-BE"/>
        </w:rPr>
        <mc:AlternateContent>
          <mc:Choice Requires="wps">
            <w:drawing>
              <wp:anchor distT="0" distB="0" distL="114300" distR="114300" simplePos="0" relativeHeight="251655680" behindDoc="0" locked="1" layoutInCell="1" allowOverlap="1" wp14:anchorId="648EBD7B" wp14:editId="5308006F">
                <wp:simplePos x="0" y="0"/>
                <wp:positionH relativeFrom="column">
                  <wp:posOffset>-152400</wp:posOffset>
                </wp:positionH>
                <wp:positionV relativeFrom="page">
                  <wp:posOffset>9829165</wp:posOffset>
                </wp:positionV>
                <wp:extent cx="1485900" cy="278130"/>
                <wp:effectExtent l="0" t="0" r="0" b="0"/>
                <wp:wrapNone/>
                <wp:docPr id="4"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278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7D58D4" w14:textId="3247CA9E" w:rsidR="009F3034" w:rsidRPr="00400DE5" w:rsidRDefault="009F3034" w:rsidP="00F85DFD">
                            <w:pPr>
                              <w:ind w:right="-126"/>
                              <w:rPr>
                                <w:rFonts w:ascii="Century Gothic" w:hAnsi="Century Gothic"/>
                                <w:lang w:val="en-US"/>
                              </w:rPr>
                            </w:pPr>
                            <w:r>
                              <w:rPr>
                                <w:rFonts w:ascii="Century Gothic" w:hAnsi="Century Gothic" w:cs="Arial"/>
                                <w:lang w:val="en-US"/>
                              </w:rPr>
                              <w:t>April 2018</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3" o:spid="_x0000_s1031" type="#_x0000_t202" style="position:absolute;left:0;text-align:left;margin-left:-12pt;margin-top:773.95pt;width:117pt;height:21.9pt;z-index:251655680;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7QihAIAABcFAAAOAAAAZHJzL2Uyb0RvYy54bWysVNuO2yAQfa/Uf0C8Z31ZZxNb66z2UleV&#10;thdptx9AAMeoGCiQ2Nuq/94BJ2m6baWqqh8wMMNhZs4ZLq/GXqIdt05oVePsLMWIK6qZUJsaf3xs&#10;ZkuMnCeKEakVr/ETd/hq9fLF5WAqnutOS8YtAhDlqsHUuPPeVEniaMd74s604QqMrbY98bC0m4RZ&#10;MgB6L5M8TS+SQVtmrKbcOdi9m4x4FfHbllP/vm0d90jWGGLzcbRxXIcxWV2SamOJ6QTdh0H+IYqe&#10;CAWXHqHuiCdoa8UvUL2gVjvd+jOq+0S3raA85gDZZOmzbB46YnjMBYrjzLFM7v/B0ne7DxYJVuMC&#10;I0V6oOiRjx7d6BFl56E8g3EVeD0Y8PMj7APNMVVn7jX95JDStx1RG35trR46ThiEl4WTycnRCccF&#10;kPXwVjO4h2y9jkBja/tQO6gGAnSg6elITYiFhiuL5bxMwUTBli+W2XnkLiHV4bSxzr/mukdhUmML&#10;1Ed0srt3PkRDqoNLuMxpKVgjpIwLu1nfSot2BGTSxC8m8MxNquCsdDg2IU47ECTcEWwh3Ej71zLL&#10;i/QmL2fNxXIxK5piPisX6XKWZuVNeZEWZXHXfAsBZkXVCca4uheKHySYFX9H8b4ZJvFEEaKhxuU8&#10;n08U/THJNH6/S7IXHjpSir7Gy6MTqQKxrxSDtEnliZDTPPk5/FhlqMHhH6sSZRCYnzTgx/UYBXdU&#10;11qzJ9CF1UAbMAyvCUw6bb9gNEBn1th93hLLMZJvFGirzIoitHJcFPNFDgt7almfWoiiAFVjj9E0&#10;vfVT+2+NFZsObjqo+Rr02IgolSDcKaq9iqH7Yk77lyK09+k6ev14z1bfAQAA//8DAFBLAwQUAAYA&#10;CAAAACEASkOnoOEAAAANAQAADwAAAGRycy9kb3ducmV2LnhtbEyPwU7DMBBE70j8g7VI3FonUUtp&#10;GqeqqLhwQKIg0aMbO3FEvLZsNw1/z/ZEjzszmn1TbSc7sFGH2DsUkM8zYBobp3rsBHx9vs6egcUk&#10;UcnBoRbwqyNs6/u7SpbKXfBDj4fUMSrBWEoBJiVfch4bo62Mc+c1kte6YGWiM3RcBXmhcjvwIsue&#10;uJU90gcjvX4xuvk5nK2Ab2t6tQ/vx1YN4/6t3S39FLwQjw/TbgMs6Sn9h+GKT+hQE9PJnVFFNgiY&#10;FQvakshYLlZrYBQp8oyk01Va5yvgdcVvV9R/AAAA//8DAFBLAQItABQABgAIAAAAIQC2gziS/gAA&#10;AOEBAAATAAAAAAAAAAAAAAAAAAAAAABbQ29udGVudF9UeXBlc10ueG1sUEsBAi0AFAAGAAgAAAAh&#10;ADj9If/WAAAAlAEAAAsAAAAAAAAAAAAAAAAALwEAAF9yZWxzLy5yZWxzUEsBAi0AFAAGAAgAAAAh&#10;AL0ntCKEAgAAFwUAAA4AAAAAAAAAAAAAAAAALgIAAGRycy9lMm9Eb2MueG1sUEsBAi0AFAAGAAgA&#10;AAAhAEpDp6DhAAAADQEAAA8AAAAAAAAAAAAAAAAA3gQAAGRycy9kb3ducmV2LnhtbFBLBQYAAAAA&#10;BAAEAPMAAADsBQAAAAA=&#10;" stroked="f">
                <v:textbox style="mso-fit-shape-to-text:t">
                  <w:txbxContent>
                    <w:p w14:paraId="037D58D4" w14:textId="3247CA9E" w:rsidR="009F3034" w:rsidRPr="00400DE5" w:rsidRDefault="009F3034" w:rsidP="00F85DFD">
                      <w:pPr>
                        <w:ind w:right="-126"/>
                        <w:rPr>
                          <w:rFonts w:ascii="Century Gothic" w:hAnsi="Century Gothic"/>
                          <w:lang w:val="en-US"/>
                        </w:rPr>
                      </w:pPr>
                      <w:r>
                        <w:rPr>
                          <w:rFonts w:ascii="Century Gothic" w:hAnsi="Century Gothic" w:cs="Arial"/>
                          <w:lang w:val="en-US"/>
                        </w:rPr>
                        <w:t>April 2018</w:t>
                      </w:r>
                    </w:p>
                  </w:txbxContent>
                </v:textbox>
                <w10:wrap anchory="page"/>
                <w10:anchorlock/>
              </v:shape>
            </w:pict>
          </mc:Fallback>
        </mc:AlternateContent>
      </w:r>
    </w:p>
    <w:p w14:paraId="47CA06F9" w14:textId="77777777" w:rsidR="008934CD" w:rsidRPr="006C6C4F" w:rsidRDefault="00B12297" w:rsidP="001F14FD">
      <w:pPr>
        <w:rPr>
          <w:b/>
          <w:u w:val="single"/>
        </w:rPr>
      </w:pPr>
      <w:r w:rsidRPr="006C6C4F">
        <w:rPr>
          <w:noProof/>
          <w:sz w:val="22"/>
          <w:lang w:val="fr-BE" w:eastAsia="fr-BE"/>
        </w:rPr>
        <w:lastRenderedPageBreak/>
        <w:drawing>
          <wp:anchor distT="0" distB="0" distL="114300" distR="114300" simplePos="0" relativeHeight="251654655" behindDoc="1" locked="0" layoutInCell="1" allowOverlap="1" wp14:anchorId="7505799D" wp14:editId="6E176D53">
            <wp:simplePos x="0" y="0"/>
            <wp:positionH relativeFrom="column">
              <wp:posOffset>-546735</wp:posOffset>
            </wp:positionH>
            <wp:positionV relativeFrom="paragraph">
              <wp:posOffset>3392170</wp:posOffset>
            </wp:positionV>
            <wp:extent cx="6894830" cy="5224780"/>
            <wp:effectExtent l="0" t="0" r="1270" b="0"/>
            <wp:wrapTight wrapText="bothSides">
              <wp:wrapPolygon edited="0">
                <wp:start x="0" y="0"/>
                <wp:lineTo x="0" y="21500"/>
                <wp:lineTo x="21544" y="21500"/>
                <wp:lineTo x="21544"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894830" cy="5224780"/>
                    </a:xfrm>
                    <a:prstGeom prst="rect">
                      <a:avLst/>
                    </a:prstGeom>
                    <a:noFill/>
                  </pic:spPr>
                </pic:pic>
              </a:graphicData>
            </a:graphic>
            <wp14:sizeRelH relativeFrom="page">
              <wp14:pctWidth>0</wp14:pctWidth>
            </wp14:sizeRelH>
            <wp14:sizeRelV relativeFrom="page">
              <wp14:pctHeight>0</wp14:pctHeight>
            </wp14:sizeRelV>
          </wp:anchor>
        </w:drawing>
      </w:r>
    </w:p>
    <w:p w14:paraId="2C7A4EC8" w14:textId="77777777" w:rsidR="00920899" w:rsidRPr="006C6C4F" w:rsidRDefault="00920899" w:rsidP="009F4BC9">
      <w:pPr>
        <w:pStyle w:val="BlockText"/>
        <w:rPr>
          <w:sz w:val="22"/>
          <w:lang w:val="en-GB"/>
        </w:rPr>
        <w:sectPr w:rsidR="00920899" w:rsidRPr="006C6C4F" w:rsidSect="00351E21">
          <w:type w:val="continuous"/>
          <w:pgSz w:w="11906" w:h="16838" w:code="9"/>
          <w:pgMar w:top="1418" w:right="1418" w:bottom="1418" w:left="1418" w:header="709" w:footer="709" w:gutter="0"/>
          <w:cols w:space="708"/>
          <w:docGrid w:linePitch="360"/>
        </w:sectPr>
      </w:pPr>
    </w:p>
    <w:tbl>
      <w:tblPr>
        <w:tblpPr w:leftFromText="181" w:rightFromText="181" w:vertAnchor="page" w:tblpY="12180"/>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86"/>
      </w:tblGrid>
      <w:tr w:rsidR="005F58AF" w:rsidRPr="00E178B3" w14:paraId="1DB537F2" w14:textId="77777777" w:rsidTr="00E37DCF">
        <w:tc>
          <w:tcPr>
            <w:tcW w:w="9286" w:type="dxa"/>
            <w:tcBorders>
              <w:top w:val="single" w:sz="12" w:space="0" w:color="A5A5A5" w:themeColor="background2"/>
              <w:left w:val="single" w:sz="12" w:space="0" w:color="A5A5A5" w:themeColor="background2"/>
              <w:bottom w:val="single" w:sz="12" w:space="0" w:color="A5A5A5" w:themeColor="background2"/>
              <w:right w:val="single" w:sz="12" w:space="0" w:color="A5A5A5" w:themeColor="background2"/>
            </w:tcBorders>
            <w:vAlign w:val="bottom"/>
          </w:tcPr>
          <w:p w14:paraId="65166939" w14:textId="77777777" w:rsidR="005F58AF" w:rsidRDefault="005F58AF" w:rsidP="00E37DCF">
            <w:pPr>
              <w:tabs>
                <w:tab w:val="left" w:pos="0"/>
              </w:tabs>
              <w:suppressAutoHyphens/>
              <w:ind w:left="340" w:right="340"/>
              <w:jc w:val="both"/>
              <w:rPr>
                <w:sz w:val="22"/>
                <w:szCs w:val="22"/>
                <w:lang w:eastAsia="en-US"/>
              </w:rPr>
            </w:pPr>
          </w:p>
          <w:p w14:paraId="6496BB15" w14:textId="74E4359F" w:rsidR="005F58AF" w:rsidRDefault="005F58AF" w:rsidP="005F58AF">
            <w:pPr>
              <w:tabs>
                <w:tab w:val="left" w:pos="0"/>
              </w:tabs>
              <w:suppressAutoHyphens/>
              <w:ind w:left="340" w:right="340"/>
              <w:jc w:val="both"/>
              <w:rPr>
                <w:sz w:val="22"/>
                <w:szCs w:val="22"/>
                <w:lang w:eastAsia="en-US"/>
              </w:rPr>
            </w:pPr>
            <w:r w:rsidRPr="00400448">
              <w:rPr>
                <w:sz w:val="22"/>
                <w:szCs w:val="22"/>
                <w:lang w:eastAsia="en-US"/>
              </w:rPr>
              <w:t xml:space="preserve">This Report has been prepared by </w:t>
            </w:r>
            <w:r>
              <w:rPr>
                <w:sz w:val="22"/>
                <w:szCs w:val="22"/>
                <w:lang w:eastAsia="en-US"/>
              </w:rPr>
              <w:t>Dr. Egl</w:t>
            </w:r>
            <w:r w:rsidR="00714A0F">
              <w:rPr>
                <w:sz w:val="22"/>
                <w:szCs w:val="22"/>
                <w:lang w:val="lt-LT" w:eastAsia="en-US"/>
              </w:rPr>
              <w:t>ė</w:t>
            </w:r>
            <w:r>
              <w:rPr>
                <w:sz w:val="22"/>
                <w:szCs w:val="22"/>
                <w:lang w:eastAsia="en-US"/>
              </w:rPr>
              <w:t xml:space="preserve"> Dagilyt</w:t>
            </w:r>
            <w:r w:rsidR="00714A0F">
              <w:rPr>
                <w:sz w:val="22"/>
                <w:szCs w:val="22"/>
                <w:lang w:eastAsia="en-US"/>
              </w:rPr>
              <w:t>ė</w:t>
            </w:r>
            <w:r>
              <w:rPr>
                <w:sz w:val="22"/>
                <w:szCs w:val="22"/>
                <w:lang w:eastAsia="en-US"/>
              </w:rPr>
              <w:t xml:space="preserve"> for </w:t>
            </w:r>
            <w:r w:rsidRPr="00400448">
              <w:rPr>
                <w:sz w:val="22"/>
                <w:szCs w:val="22"/>
                <w:lang w:eastAsia="en-US"/>
              </w:rPr>
              <w:t>Milieu Ltd under the</w:t>
            </w:r>
            <w:r w:rsidRPr="005F58AF">
              <w:rPr>
                <w:sz w:val="22"/>
                <w:szCs w:val="22"/>
                <w:lang w:eastAsia="en-US"/>
              </w:rPr>
              <w:t xml:space="preserve"> </w:t>
            </w:r>
            <w:r>
              <w:rPr>
                <w:sz w:val="22"/>
                <w:szCs w:val="22"/>
                <w:lang w:eastAsia="en-US"/>
              </w:rPr>
              <w:t xml:space="preserve">contract </w:t>
            </w:r>
            <w:r w:rsidRPr="005F58AF">
              <w:rPr>
                <w:sz w:val="22"/>
                <w:szCs w:val="22"/>
                <w:lang w:eastAsia="en-US"/>
              </w:rPr>
              <w:t>JUST/2016/RCIT/FW/RIGH/0152 (2017/06)</w:t>
            </w:r>
            <w:r>
              <w:rPr>
                <w:sz w:val="22"/>
                <w:szCs w:val="22"/>
                <w:lang w:eastAsia="en-US"/>
              </w:rPr>
              <w:t xml:space="preserve">. </w:t>
            </w:r>
          </w:p>
          <w:p w14:paraId="71B3CED5" w14:textId="77777777" w:rsidR="005F58AF" w:rsidRPr="00400448" w:rsidRDefault="005F58AF" w:rsidP="00E37DCF">
            <w:pPr>
              <w:tabs>
                <w:tab w:val="left" w:pos="0"/>
              </w:tabs>
              <w:suppressAutoHyphens/>
              <w:ind w:left="340" w:right="340"/>
              <w:jc w:val="both"/>
              <w:rPr>
                <w:sz w:val="22"/>
                <w:szCs w:val="22"/>
                <w:lang w:eastAsia="en-US"/>
              </w:rPr>
            </w:pPr>
          </w:p>
          <w:p w14:paraId="05940BC5" w14:textId="77777777" w:rsidR="005F58AF" w:rsidRPr="00400448" w:rsidRDefault="005F58AF" w:rsidP="00E37DCF">
            <w:pPr>
              <w:tabs>
                <w:tab w:val="left" w:pos="0"/>
              </w:tabs>
              <w:suppressAutoHyphens/>
              <w:ind w:left="340" w:right="340"/>
              <w:jc w:val="both"/>
              <w:rPr>
                <w:sz w:val="22"/>
                <w:szCs w:val="22"/>
                <w:lang w:eastAsia="en-US"/>
              </w:rPr>
            </w:pPr>
            <w:r w:rsidRPr="00400448">
              <w:rPr>
                <w:sz w:val="22"/>
                <w:szCs w:val="22"/>
                <w:lang w:eastAsia="en-US"/>
              </w:rPr>
              <w:t xml:space="preserve">The views expressed herein are those of the consultants alone and do not necessarily represent the official views of the European Commission. </w:t>
            </w:r>
          </w:p>
          <w:p w14:paraId="1B9430B4" w14:textId="77777777" w:rsidR="005F58AF" w:rsidRPr="00400448" w:rsidRDefault="005F58AF" w:rsidP="00E37DCF">
            <w:pPr>
              <w:tabs>
                <w:tab w:val="left" w:pos="0"/>
              </w:tabs>
              <w:suppressAutoHyphens/>
              <w:ind w:right="340"/>
              <w:jc w:val="both"/>
              <w:rPr>
                <w:sz w:val="22"/>
                <w:szCs w:val="22"/>
                <w:lang w:eastAsia="en-US"/>
              </w:rPr>
            </w:pPr>
          </w:p>
          <w:p w14:paraId="1F1D1C58" w14:textId="20922F15" w:rsidR="005F58AF" w:rsidRPr="00CD61D0" w:rsidRDefault="005F58AF" w:rsidP="00E37DCF">
            <w:pPr>
              <w:tabs>
                <w:tab w:val="left" w:pos="0"/>
              </w:tabs>
              <w:suppressAutoHyphens/>
              <w:ind w:left="340" w:right="340"/>
              <w:jc w:val="both"/>
              <w:rPr>
                <w:sz w:val="22"/>
                <w:szCs w:val="22"/>
                <w:lang w:eastAsia="en-US"/>
              </w:rPr>
            </w:pPr>
            <w:r w:rsidRPr="00CD61D0">
              <w:rPr>
                <w:b/>
                <w:sz w:val="22"/>
                <w:szCs w:val="22"/>
                <w:lang w:eastAsia="en-US"/>
              </w:rPr>
              <w:t>Milieu Ltd</w:t>
            </w:r>
            <w:r w:rsidRPr="00CD61D0">
              <w:rPr>
                <w:sz w:val="22"/>
                <w:szCs w:val="22"/>
                <w:lang w:eastAsia="en-US"/>
              </w:rPr>
              <w:t xml:space="preserve"> (Belgium), Chaussée de Charleroi 112, B-1060 Brussels, tel.: +32 2 506 1000; e-mail: </w:t>
            </w:r>
            <w:hyperlink r:id="rId12" w:history="1">
              <w:r w:rsidRPr="00CD61D0">
                <w:rPr>
                  <w:rStyle w:val="Hyperlink"/>
                  <w:sz w:val="22"/>
                  <w:szCs w:val="22"/>
                  <w:lang w:eastAsia="en-US"/>
                </w:rPr>
                <w:t>emma.psaila@milieu.be</w:t>
              </w:r>
            </w:hyperlink>
            <w:r w:rsidRPr="00CD61D0">
              <w:rPr>
                <w:sz w:val="22"/>
                <w:szCs w:val="22"/>
                <w:lang w:eastAsia="en-US"/>
              </w:rPr>
              <w:t xml:space="preserve">; </w:t>
            </w:r>
            <w:hyperlink r:id="rId13" w:history="1">
              <w:r w:rsidRPr="00CD61D0">
                <w:rPr>
                  <w:rStyle w:val="Hyperlink"/>
                  <w:sz w:val="22"/>
                  <w:szCs w:val="22"/>
                  <w:lang w:eastAsia="en-US"/>
                </w:rPr>
                <w:t>ana.gomez@milieu.be</w:t>
              </w:r>
            </w:hyperlink>
            <w:r w:rsidRPr="00CD61D0">
              <w:rPr>
                <w:sz w:val="22"/>
                <w:szCs w:val="22"/>
                <w:lang w:eastAsia="en-US"/>
              </w:rPr>
              <w:t xml:space="preserve"> and </w:t>
            </w:r>
            <w:r w:rsidRPr="00CD61D0">
              <w:rPr>
                <w:color w:val="0000FF"/>
                <w:sz w:val="22"/>
                <w:szCs w:val="22"/>
                <w:u w:val="single"/>
                <w:lang w:eastAsia="en-US"/>
              </w:rPr>
              <w:t>vanessa.leigh@milieu.be</w:t>
            </w:r>
            <w:r w:rsidRPr="00CD61D0">
              <w:rPr>
                <w:sz w:val="22"/>
                <w:szCs w:val="22"/>
                <w:lang w:eastAsia="en-US"/>
              </w:rPr>
              <w:t xml:space="preserve">; web address: </w:t>
            </w:r>
            <w:hyperlink r:id="rId14" w:history="1">
              <w:r w:rsidRPr="00CD61D0">
                <w:rPr>
                  <w:rStyle w:val="Hyperlink"/>
                  <w:sz w:val="22"/>
                  <w:szCs w:val="22"/>
                  <w:lang w:eastAsia="en-US"/>
                </w:rPr>
                <w:t>www.milieu.be</w:t>
              </w:r>
            </w:hyperlink>
            <w:r w:rsidRPr="00CD61D0">
              <w:rPr>
                <w:sz w:val="22"/>
                <w:szCs w:val="22"/>
                <w:lang w:eastAsia="en-US"/>
              </w:rPr>
              <w:t xml:space="preserve">. </w:t>
            </w:r>
          </w:p>
          <w:p w14:paraId="3AD5233A" w14:textId="77777777" w:rsidR="005F58AF" w:rsidRPr="00CD61D0" w:rsidRDefault="005F58AF" w:rsidP="00E37DCF">
            <w:pPr>
              <w:pStyle w:val="BlockText"/>
              <w:ind w:left="0"/>
              <w:jc w:val="left"/>
              <w:rPr>
                <w:sz w:val="22"/>
                <w:lang w:val="en-GB"/>
              </w:rPr>
            </w:pPr>
          </w:p>
        </w:tc>
      </w:tr>
    </w:tbl>
    <w:p w14:paraId="6B2D1DB4" w14:textId="77777777" w:rsidR="001F14FD" w:rsidRPr="00CD61D0" w:rsidRDefault="001F14FD" w:rsidP="001F14FD">
      <w:pPr>
        <w:rPr>
          <w:b/>
          <w:i/>
          <w:sz w:val="22"/>
        </w:rPr>
      </w:pPr>
      <w:r w:rsidRPr="00CD61D0">
        <w:rPr>
          <w:b/>
          <w:u w:val="single"/>
        </w:rPr>
        <w:br w:type="page"/>
      </w:r>
    </w:p>
    <w:tbl>
      <w:tblPr>
        <w:tblStyle w:val="TableGrid"/>
        <w:tblW w:w="5000" w:type="pct"/>
        <w:tblBorders>
          <w:top w:val="single" w:sz="12" w:space="0" w:color="A5A5A5" w:themeColor="background2"/>
          <w:left w:val="single" w:sz="12" w:space="0" w:color="A5A5A5" w:themeColor="background2"/>
          <w:bottom w:val="single" w:sz="12" w:space="0" w:color="A5A5A5" w:themeColor="background2"/>
          <w:right w:val="single" w:sz="12" w:space="0" w:color="A5A5A5" w:themeColor="background2"/>
          <w:insideH w:val="none" w:sz="0" w:space="0" w:color="auto"/>
          <w:insideV w:val="none" w:sz="0" w:space="0" w:color="auto"/>
        </w:tblBorders>
        <w:tblCellMar>
          <w:top w:w="57" w:type="dxa"/>
          <w:bottom w:w="57" w:type="dxa"/>
        </w:tblCellMar>
        <w:tblLook w:val="04A0" w:firstRow="1" w:lastRow="0" w:firstColumn="1" w:lastColumn="0" w:noHBand="0" w:noVBand="1"/>
      </w:tblPr>
      <w:tblGrid>
        <w:gridCol w:w="9286"/>
      </w:tblGrid>
      <w:tr w:rsidR="00F64DD1" w:rsidRPr="006C6C4F" w14:paraId="7D548B7B" w14:textId="77777777" w:rsidTr="006F2F47">
        <w:tc>
          <w:tcPr>
            <w:tcW w:w="5000" w:type="pct"/>
            <w:shd w:val="clear" w:color="auto" w:fill="auto"/>
            <w:vAlign w:val="center"/>
          </w:tcPr>
          <w:p w14:paraId="3CD9746F" w14:textId="77777777" w:rsidR="00F64DD1" w:rsidRPr="006C6C4F" w:rsidRDefault="00F53B5D" w:rsidP="00F97EDE">
            <w:pPr>
              <w:ind w:right="-126"/>
              <w:jc w:val="center"/>
              <w:rPr>
                <w:rFonts w:ascii="Century Gothic" w:hAnsi="Century Gothic" w:cs="Arial"/>
                <w:b/>
                <w:i/>
                <w:color w:val="7AB800" w:themeColor="text2"/>
                <w:sz w:val="28"/>
                <w:szCs w:val="28"/>
              </w:rPr>
            </w:pPr>
            <w:r w:rsidRPr="006C6C4F">
              <w:rPr>
                <w:rFonts w:ascii="Century Gothic" w:hAnsi="Century Gothic" w:cs="Arial"/>
                <w:b/>
                <w:i/>
                <w:color w:val="4F81BD" w:themeColor="accent1"/>
                <w:sz w:val="28"/>
                <w:szCs w:val="28"/>
              </w:rPr>
              <w:lastRenderedPageBreak/>
              <w:t xml:space="preserve">Factual analysis of Member States Investors’ Schemes granting citizenship or residence to third-country nationals investing in </w:t>
            </w:r>
            <w:r w:rsidR="009A69AD" w:rsidRPr="006C6C4F">
              <w:rPr>
                <w:rFonts w:ascii="Century Gothic" w:hAnsi="Century Gothic" w:cs="Arial"/>
                <w:b/>
                <w:i/>
                <w:color w:val="4F81BD" w:themeColor="accent1"/>
                <w:sz w:val="28"/>
                <w:szCs w:val="28"/>
              </w:rPr>
              <w:t>Lithuania</w:t>
            </w:r>
          </w:p>
        </w:tc>
      </w:tr>
    </w:tbl>
    <w:p w14:paraId="2F77E0A0" w14:textId="77777777" w:rsidR="001F14FD" w:rsidRPr="006C6C4F" w:rsidRDefault="001F14FD" w:rsidP="001F14FD">
      <w:pPr>
        <w:rPr>
          <w:b/>
          <w:sz w:val="22"/>
          <w:szCs w:val="22"/>
        </w:rPr>
      </w:pPr>
    </w:p>
    <w:p w14:paraId="24F1262E" w14:textId="77777777" w:rsidR="00F90C45" w:rsidRPr="006C6C4F" w:rsidRDefault="00F90C45" w:rsidP="001F14FD">
      <w:pPr>
        <w:rPr>
          <w:b/>
          <w:sz w:val="22"/>
          <w:szCs w:val="22"/>
        </w:rPr>
      </w:pPr>
    </w:p>
    <w:p w14:paraId="52527433" w14:textId="77777777" w:rsidR="00E82864" w:rsidRPr="006C6C4F" w:rsidRDefault="00F90C45" w:rsidP="001F14FD">
      <w:pPr>
        <w:rPr>
          <w:rFonts w:ascii="Century Gothic" w:hAnsi="Century Gothic"/>
          <w:b/>
          <w:sz w:val="22"/>
          <w:szCs w:val="22"/>
        </w:rPr>
      </w:pPr>
      <w:r w:rsidRPr="006C6C4F">
        <w:rPr>
          <w:rFonts w:ascii="Century Gothic" w:hAnsi="Century Gothic"/>
          <w:b/>
          <w:sz w:val="22"/>
          <w:szCs w:val="22"/>
        </w:rPr>
        <w:t>TABLE OF CONTENTS</w:t>
      </w:r>
    </w:p>
    <w:p w14:paraId="404098ED" w14:textId="77777777" w:rsidR="00F90C45" w:rsidRPr="006C6C4F" w:rsidRDefault="00F90C45" w:rsidP="001F14FD">
      <w:pPr>
        <w:rPr>
          <w:rFonts w:ascii="Century Gothic" w:hAnsi="Century Gothic"/>
          <w:b/>
          <w:sz w:val="22"/>
          <w:szCs w:val="22"/>
        </w:rPr>
      </w:pPr>
    </w:p>
    <w:p w14:paraId="0937921E" w14:textId="77777777" w:rsidR="00F90C45" w:rsidRPr="006C6C4F" w:rsidRDefault="00F90C45" w:rsidP="001F14FD">
      <w:pPr>
        <w:rPr>
          <w:rFonts w:ascii="Century Gothic" w:hAnsi="Century Gothic"/>
          <w:b/>
          <w:sz w:val="22"/>
          <w:szCs w:val="22"/>
        </w:rPr>
      </w:pPr>
    </w:p>
    <w:sdt>
      <w:sdtPr>
        <w:rPr>
          <w:rFonts w:ascii="Times New Roman" w:hAnsi="Times New Roman"/>
          <w:b w:val="0"/>
          <w:bCs w:val="0"/>
          <w:caps w:val="0"/>
          <w:noProof w:val="0"/>
          <w:sz w:val="24"/>
          <w:szCs w:val="24"/>
        </w:rPr>
        <w:id w:val="454527142"/>
        <w:docPartObj>
          <w:docPartGallery w:val="Table of Contents"/>
          <w:docPartUnique/>
        </w:docPartObj>
      </w:sdtPr>
      <w:sdtEndPr/>
      <w:sdtContent>
        <w:p w14:paraId="32A624C7" w14:textId="277ED5B5" w:rsidR="00547627" w:rsidRDefault="00F90C45">
          <w:pPr>
            <w:pStyle w:val="TOC1"/>
            <w:rPr>
              <w:rFonts w:asciiTheme="minorHAnsi" w:eastAsiaTheme="minorEastAsia" w:hAnsiTheme="minorHAnsi" w:cstheme="minorBidi"/>
              <w:b w:val="0"/>
              <w:bCs w:val="0"/>
              <w:caps w:val="0"/>
              <w:lang w:eastAsia="en-GB"/>
            </w:rPr>
          </w:pPr>
          <w:r w:rsidRPr="006C6C4F">
            <w:fldChar w:fldCharType="begin"/>
          </w:r>
          <w:r w:rsidRPr="006C6C4F">
            <w:instrText xml:space="preserve"> TOC \o "1-3" \h \z \u </w:instrText>
          </w:r>
          <w:r w:rsidRPr="006C6C4F">
            <w:fldChar w:fldCharType="separate"/>
          </w:r>
          <w:hyperlink w:anchor="_Toc522130156" w:history="1">
            <w:r w:rsidR="00547627" w:rsidRPr="0042023B">
              <w:rPr>
                <w:rStyle w:val="Hyperlink"/>
              </w:rPr>
              <w:t>I.</w:t>
            </w:r>
            <w:r w:rsidR="00547627">
              <w:rPr>
                <w:rFonts w:asciiTheme="minorHAnsi" w:eastAsiaTheme="minorEastAsia" w:hAnsiTheme="minorHAnsi" w:cstheme="minorBidi"/>
                <w:b w:val="0"/>
                <w:bCs w:val="0"/>
                <w:caps w:val="0"/>
                <w:lang w:eastAsia="en-GB"/>
              </w:rPr>
              <w:tab/>
            </w:r>
            <w:r w:rsidR="00547627" w:rsidRPr="0042023B">
              <w:rPr>
                <w:rStyle w:val="Hyperlink"/>
              </w:rPr>
              <w:t>GENERAL BACKGROUND</w:t>
            </w:r>
            <w:r w:rsidR="00547627">
              <w:rPr>
                <w:webHidden/>
              </w:rPr>
              <w:tab/>
            </w:r>
            <w:r w:rsidR="00547627">
              <w:rPr>
                <w:webHidden/>
              </w:rPr>
              <w:fldChar w:fldCharType="begin"/>
            </w:r>
            <w:r w:rsidR="00547627">
              <w:rPr>
                <w:webHidden/>
              </w:rPr>
              <w:instrText xml:space="preserve"> PAGEREF _Toc522130156 \h </w:instrText>
            </w:r>
            <w:r w:rsidR="00547627">
              <w:rPr>
                <w:webHidden/>
              </w:rPr>
            </w:r>
            <w:r w:rsidR="00547627">
              <w:rPr>
                <w:webHidden/>
              </w:rPr>
              <w:fldChar w:fldCharType="separate"/>
            </w:r>
            <w:r w:rsidR="00547627">
              <w:rPr>
                <w:webHidden/>
              </w:rPr>
              <w:t>1</w:t>
            </w:r>
            <w:r w:rsidR="00547627">
              <w:rPr>
                <w:webHidden/>
              </w:rPr>
              <w:fldChar w:fldCharType="end"/>
            </w:r>
          </w:hyperlink>
        </w:p>
        <w:p w14:paraId="2ADDB81E" w14:textId="38FF1B50" w:rsidR="00547627" w:rsidRDefault="00CD61D0">
          <w:pPr>
            <w:pStyle w:val="TOC1"/>
            <w:rPr>
              <w:rFonts w:asciiTheme="minorHAnsi" w:eastAsiaTheme="minorEastAsia" w:hAnsiTheme="minorHAnsi" w:cstheme="minorBidi"/>
              <w:b w:val="0"/>
              <w:bCs w:val="0"/>
              <w:caps w:val="0"/>
              <w:lang w:eastAsia="en-GB"/>
            </w:rPr>
          </w:pPr>
          <w:hyperlink w:anchor="_Toc522130157" w:history="1">
            <w:r w:rsidR="00547627" w:rsidRPr="0042023B">
              <w:rPr>
                <w:rStyle w:val="Hyperlink"/>
              </w:rPr>
              <w:t>II.</w:t>
            </w:r>
            <w:r w:rsidR="00547627">
              <w:rPr>
                <w:rFonts w:asciiTheme="minorHAnsi" w:eastAsiaTheme="minorEastAsia" w:hAnsiTheme="minorHAnsi" w:cstheme="minorBidi"/>
                <w:b w:val="0"/>
                <w:bCs w:val="0"/>
                <w:caps w:val="0"/>
                <w:lang w:eastAsia="en-GB"/>
              </w:rPr>
              <w:tab/>
            </w:r>
            <w:r w:rsidR="00547627" w:rsidRPr="0042023B">
              <w:rPr>
                <w:rStyle w:val="Hyperlink"/>
              </w:rPr>
              <w:t>PROCEDURES, COMPETENT AUTHORITIES AND APPLICABLE CRITERIA</w:t>
            </w:r>
            <w:r w:rsidR="00547627">
              <w:rPr>
                <w:webHidden/>
              </w:rPr>
              <w:tab/>
            </w:r>
            <w:r w:rsidR="00547627">
              <w:rPr>
                <w:webHidden/>
              </w:rPr>
              <w:fldChar w:fldCharType="begin"/>
            </w:r>
            <w:r w:rsidR="00547627">
              <w:rPr>
                <w:webHidden/>
              </w:rPr>
              <w:instrText xml:space="preserve"> PAGEREF _Toc522130157 \h </w:instrText>
            </w:r>
            <w:r w:rsidR="00547627">
              <w:rPr>
                <w:webHidden/>
              </w:rPr>
            </w:r>
            <w:r w:rsidR="00547627">
              <w:rPr>
                <w:webHidden/>
              </w:rPr>
              <w:fldChar w:fldCharType="separate"/>
            </w:r>
            <w:r w:rsidR="00547627">
              <w:rPr>
                <w:webHidden/>
              </w:rPr>
              <w:t>5</w:t>
            </w:r>
            <w:r w:rsidR="00547627">
              <w:rPr>
                <w:webHidden/>
              </w:rPr>
              <w:fldChar w:fldCharType="end"/>
            </w:r>
          </w:hyperlink>
        </w:p>
        <w:p w14:paraId="16ED17DD" w14:textId="77DCC1BC" w:rsidR="00547627" w:rsidRDefault="00CD61D0">
          <w:pPr>
            <w:pStyle w:val="TOC1"/>
            <w:rPr>
              <w:rFonts w:asciiTheme="minorHAnsi" w:eastAsiaTheme="minorEastAsia" w:hAnsiTheme="minorHAnsi" w:cstheme="minorBidi"/>
              <w:b w:val="0"/>
              <w:bCs w:val="0"/>
              <w:caps w:val="0"/>
              <w:lang w:eastAsia="en-GB"/>
            </w:rPr>
          </w:pPr>
          <w:hyperlink w:anchor="_Toc522130158" w:history="1">
            <w:r w:rsidR="00547627" w:rsidRPr="0042023B">
              <w:rPr>
                <w:rStyle w:val="Hyperlink"/>
              </w:rPr>
              <w:t>1</w:t>
            </w:r>
            <w:r w:rsidR="00547627">
              <w:rPr>
                <w:rFonts w:asciiTheme="minorHAnsi" w:eastAsiaTheme="minorEastAsia" w:hAnsiTheme="minorHAnsi" w:cstheme="minorBidi"/>
                <w:b w:val="0"/>
                <w:bCs w:val="0"/>
                <w:caps w:val="0"/>
                <w:lang w:eastAsia="en-GB"/>
              </w:rPr>
              <w:tab/>
            </w:r>
            <w:r w:rsidR="00547627" w:rsidRPr="0042023B">
              <w:rPr>
                <w:rStyle w:val="Hyperlink"/>
              </w:rPr>
              <w:t>Application Phase</w:t>
            </w:r>
            <w:r w:rsidR="00547627">
              <w:rPr>
                <w:webHidden/>
              </w:rPr>
              <w:tab/>
            </w:r>
            <w:r w:rsidR="00547627">
              <w:rPr>
                <w:webHidden/>
              </w:rPr>
              <w:fldChar w:fldCharType="begin"/>
            </w:r>
            <w:r w:rsidR="00547627">
              <w:rPr>
                <w:webHidden/>
              </w:rPr>
              <w:instrText xml:space="preserve"> PAGEREF _Toc522130158 \h </w:instrText>
            </w:r>
            <w:r w:rsidR="00547627">
              <w:rPr>
                <w:webHidden/>
              </w:rPr>
            </w:r>
            <w:r w:rsidR="00547627">
              <w:rPr>
                <w:webHidden/>
              </w:rPr>
              <w:fldChar w:fldCharType="separate"/>
            </w:r>
            <w:r w:rsidR="00547627">
              <w:rPr>
                <w:webHidden/>
              </w:rPr>
              <w:t>5</w:t>
            </w:r>
            <w:r w:rsidR="00547627">
              <w:rPr>
                <w:webHidden/>
              </w:rPr>
              <w:fldChar w:fldCharType="end"/>
            </w:r>
          </w:hyperlink>
        </w:p>
        <w:p w14:paraId="20B93F45" w14:textId="062B8E88" w:rsidR="00547627" w:rsidRDefault="00CD61D0">
          <w:pPr>
            <w:pStyle w:val="TOC1"/>
            <w:rPr>
              <w:rFonts w:asciiTheme="minorHAnsi" w:eastAsiaTheme="minorEastAsia" w:hAnsiTheme="minorHAnsi" w:cstheme="minorBidi"/>
              <w:b w:val="0"/>
              <w:bCs w:val="0"/>
              <w:caps w:val="0"/>
              <w:lang w:eastAsia="en-GB"/>
            </w:rPr>
          </w:pPr>
          <w:hyperlink w:anchor="_Toc522130159" w:history="1">
            <w:r w:rsidR="00547627" w:rsidRPr="0042023B">
              <w:rPr>
                <w:rStyle w:val="Hyperlink"/>
              </w:rPr>
              <w:t>2</w:t>
            </w:r>
            <w:r w:rsidR="00547627">
              <w:rPr>
                <w:rFonts w:asciiTheme="minorHAnsi" w:eastAsiaTheme="minorEastAsia" w:hAnsiTheme="minorHAnsi" w:cstheme="minorBidi"/>
                <w:b w:val="0"/>
                <w:bCs w:val="0"/>
                <w:caps w:val="0"/>
                <w:lang w:eastAsia="en-GB"/>
              </w:rPr>
              <w:tab/>
            </w:r>
            <w:r w:rsidR="00547627" w:rsidRPr="0042023B">
              <w:rPr>
                <w:rStyle w:val="Hyperlink"/>
              </w:rPr>
              <w:t>Type of investment</w:t>
            </w:r>
            <w:r w:rsidR="00547627">
              <w:rPr>
                <w:webHidden/>
              </w:rPr>
              <w:tab/>
            </w:r>
            <w:r w:rsidR="00547627">
              <w:rPr>
                <w:webHidden/>
              </w:rPr>
              <w:fldChar w:fldCharType="begin"/>
            </w:r>
            <w:r w:rsidR="00547627">
              <w:rPr>
                <w:webHidden/>
              </w:rPr>
              <w:instrText xml:space="preserve"> PAGEREF _Toc522130159 \h </w:instrText>
            </w:r>
            <w:r w:rsidR="00547627">
              <w:rPr>
                <w:webHidden/>
              </w:rPr>
            </w:r>
            <w:r w:rsidR="00547627">
              <w:rPr>
                <w:webHidden/>
              </w:rPr>
              <w:fldChar w:fldCharType="separate"/>
            </w:r>
            <w:r w:rsidR="00547627">
              <w:rPr>
                <w:webHidden/>
              </w:rPr>
              <w:t>20</w:t>
            </w:r>
            <w:r w:rsidR="00547627">
              <w:rPr>
                <w:webHidden/>
              </w:rPr>
              <w:fldChar w:fldCharType="end"/>
            </w:r>
          </w:hyperlink>
        </w:p>
        <w:p w14:paraId="7DBD0691" w14:textId="01D72C55" w:rsidR="00547627" w:rsidRDefault="00CD61D0">
          <w:pPr>
            <w:pStyle w:val="TOC1"/>
            <w:rPr>
              <w:rFonts w:asciiTheme="minorHAnsi" w:eastAsiaTheme="minorEastAsia" w:hAnsiTheme="minorHAnsi" w:cstheme="minorBidi"/>
              <w:b w:val="0"/>
              <w:bCs w:val="0"/>
              <w:caps w:val="0"/>
              <w:lang w:eastAsia="en-GB"/>
            </w:rPr>
          </w:pPr>
          <w:hyperlink w:anchor="_Toc522130160" w:history="1">
            <w:r w:rsidR="00547627" w:rsidRPr="0042023B">
              <w:rPr>
                <w:rStyle w:val="Hyperlink"/>
              </w:rPr>
              <w:t>3</w:t>
            </w:r>
            <w:r w:rsidR="00547627">
              <w:rPr>
                <w:rFonts w:asciiTheme="minorHAnsi" w:eastAsiaTheme="minorEastAsia" w:hAnsiTheme="minorHAnsi" w:cstheme="minorBidi"/>
                <w:b w:val="0"/>
                <w:bCs w:val="0"/>
                <w:caps w:val="0"/>
                <w:lang w:eastAsia="en-GB"/>
              </w:rPr>
              <w:tab/>
            </w:r>
            <w:r w:rsidR="00547627" w:rsidRPr="0042023B">
              <w:rPr>
                <w:rStyle w:val="Hyperlink"/>
              </w:rPr>
              <w:t>Residence Phase</w:t>
            </w:r>
            <w:r w:rsidR="00547627">
              <w:rPr>
                <w:webHidden/>
              </w:rPr>
              <w:tab/>
            </w:r>
            <w:r w:rsidR="00547627">
              <w:rPr>
                <w:webHidden/>
              </w:rPr>
              <w:fldChar w:fldCharType="begin"/>
            </w:r>
            <w:r w:rsidR="00547627">
              <w:rPr>
                <w:webHidden/>
              </w:rPr>
              <w:instrText xml:space="preserve"> PAGEREF _Toc522130160 \h </w:instrText>
            </w:r>
            <w:r w:rsidR="00547627">
              <w:rPr>
                <w:webHidden/>
              </w:rPr>
            </w:r>
            <w:r w:rsidR="00547627">
              <w:rPr>
                <w:webHidden/>
              </w:rPr>
              <w:fldChar w:fldCharType="separate"/>
            </w:r>
            <w:r w:rsidR="00547627">
              <w:rPr>
                <w:webHidden/>
              </w:rPr>
              <w:t>22</w:t>
            </w:r>
            <w:r w:rsidR="00547627">
              <w:rPr>
                <w:webHidden/>
              </w:rPr>
              <w:fldChar w:fldCharType="end"/>
            </w:r>
          </w:hyperlink>
        </w:p>
        <w:p w14:paraId="57B1D3F9" w14:textId="12B3E149" w:rsidR="00547627" w:rsidRDefault="00CD61D0">
          <w:pPr>
            <w:pStyle w:val="TOC1"/>
            <w:rPr>
              <w:rFonts w:asciiTheme="minorHAnsi" w:eastAsiaTheme="minorEastAsia" w:hAnsiTheme="minorHAnsi" w:cstheme="minorBidi"/>
              <w:b w:val="0"/>
              <w:bCs w:val="0"/>
              <w:caps w:val="0"/>
              <w:lang w:eastAsia="en-GB"/>
            </w:rPr>
          </w:pPr>
          <w:hyperlink w:anchor="_Toc522130161" w:history="1">
            <w:r w:rsidR="00547627" w:rsidRPr="0042023B">
              <w:rPr>
                <w:rStyle w:val="Hyperlink"/>
              </w:rPr>
              <w:t>4</w:t>
            </w:r>
            <w:r w:rsidR="00547627">
              <w:rPr>
                <w:rFonts w:asciiTheme="minorHAnsi" w:eastAsiaTheme="minorEastAsia" w:hAnsiTheme="minorHAnsi" w:cstheme="minorBidi"/>
                <w:b w:val="0"/>
                <w:bCs w:val="0"/>
                <w:caps w:val="0"/>
                <w:lang w:eastAsia="en-GB"/>
              </w:rPr>
              <w:tab/>
            </w:r>
            <w:r w:rsidR="00547627" w:rsidRPr="0042023B">
              <w:rPr>
                <w:rStyle w:val="Hyperlink"/>
              </w:rPr>
              <w:t>Due diligence criteria and security considerations</w:t>
            </w:r>
            <w:r w:rsidR="00547627">
              <w:rPr>
                <w:webHidden/>
              </w:rPr>
              <w:tab/>
            </w:r>
            <w:r w:rsidR="00547627">
              <w:rPr>
                <w:webHidden/>
              </w:rPr>
              <w:fldChar w:fldCharType="begin"/>
            </w:r>
            <w:r w:rsidR="00547627">
              <w:rPr>
                <w:webHidden/>
              </w:rPr>
              <w:instrText xml:space="preserve"> PAGEREF _Toc522130161 \h </w:instrText>
            </w:r>
            <w:r w:rsidR="00547627">
              <w:rPr>
                <w:webHidden/>
              </w:rPr>
            </w:r>
            <w:r w:rsidR="00547627">
              <w:rPr>
                <w:webHidden/>
              </w:rPr>
              <w:fldChar w:fldCharType="separate"/>
            </w:r>
            <w:r w:rsidR="00547627">
              <w:rPr>
                <w:webHidden/>
              </w:rPr>
              <w:t>24</w:t>
            </w:r>
            <w:r w:rsidR="00547627">
              <w:rPr>
                <w:webHidden/>
              </w:rPr>
              <w:fldChar w:fldCharType="end"/>
            </w:r>
          </w:hyperlink>
        </w:p>
        <w:p w14:paraId="5C1DD57E" w14:textId="1805042F" w:rsidR="00547627" w:rsidRDefault="00CD61D0">
          <w:pPr>
            <w:pStyle w:val="TOC1"/>
            <w:rPr>
              <w:rFonts w:asciiTheme="minorHAnsi" w:eastAsiaTheme="minorEastAsia" w:hAnsiTheme="minorHAnsi" w:cstheme="minorBidi"/>
              <w:b w:val="0"/>
              <w:bCs w:val="0"/>
              <w:caps w:val="0"/>
              <w:lang w:eastAsia="en-GB"/>
            </w:rPr>
          </w:pPr>
          <w:hyperlink w:anchor="_Toc522130162" w:history="1">
            <w:r w:rsidR="00547627" w:rsidRPr="0042023B">
              <w:rPr>
                <w:rStyle w:val="Hyperlink"/>
              </w:rPr>
              <w:t>III.</w:t>
            </w:r>
            <w:r w:rsidR="00547627">
              <w:rPr>
                <w:rFonts w:asciiTheme="minorHAnsi" w:eastAsiaTheme="minorEastAsia" w:hAnsiTheme="minorHAnsi" w:cstheme="minorBidi"/>
                <w:b w:val="0"/>
                <w:bCs w:val="0"/>
                <w:caps w:val="0"/>
                <w:lang w:eastAsia="en-GB"/>
              </w:rPr>
              <w:tab/>
            </w:r>
            <w:r w:rsidR="00547627" w:rsidRPr="0042023B">
              <w:rPr>
                <w:rStyle w:val="Hyperlink"/>
              </w:rPr>
              <w:t>RIGHTS GRANTED BY THE PERMITS</w:t>
            </w:r>
            <w:r w:rsidR="00547627">
              <w:rPr>
                <w:webHidden/>
              </w:rPr>
              <w:tab/>
            </w:r>
            <w:r w:rsidR="00547627">
              <w:rPr>
                <w:webHidden/>
              </w:rPr>
              <w:fldChar w:fldCharType="begin"/>
            </w:r>
            <w:r w:rsidR="00547627">
              <w:rPr>
                <w:webHidden/>
              </w:rPr>
              <w:instrText xml:space="preserve"> PAGEREF _Toc522130162 \h </w:instrText>
            </w:r>
            <w:r w:rsidR="00547627">
              <w:rPr>
                <w:webHidden/>
              </w:rPr>
            </w:r>
            <w:r w:rsidR="00547627">
              <w:rPr>
                <w:webHidden/>
              </w:rPr>
              <w:fldChar w:fldCharType="separate"/>
            </w:r>
            <w:r w:rsidR="00547627">
              <w:rPr>
                <w:webHidden/>
              </w:rPr>
              <w:t>27</w:t>
            </w:r>
            <w:r w:rsidR="00547627">
              <w:rPr>
                <w:webHidden/>
              </w:rPr>
              <w:fldChar w:fldCharType="end"/>
            </w:r>
          </w:hyperlink>
        </w:p>
        <w:p w14:paraId="7F941B09" w14:textId="68460C0B" w:rsidR="00547627" w:rsidRDefault="00CD61D0">
          <w:pPr>
            <w:pStyle w:val="TOC1"/>
            <w:rPr>
              <w:rFonts w:asciiTheme="minorHAnsi" w:eastAsiaTheme="minorEastAsia" w:hAnsiTheme="minorHAnsi" w:cstheme="minorBidi"/>
              <w:b w:val="0"/>
              <w:bCs w:val="0"/>
              <w:caps w:val="0"/>
              <w:lang w:eastAsia="en-GB"/>
            </w:rPr>
          </w:pPr>
          <w:hyperlink w:anchor="_Toc522130163" w:history="1">
            <w:r w:rsidR="00547627" w:rsidRPr="0042023B">
              <w:rPr>
                <w:rStyle w:val="Hyperlink"/>
              </w:rPr>
              <w:t>1</w:t>
            </w:r>
            <w:r w:rsidR="00547627">
              <w:rPr>
                <w:rFonts w:asciiTheme="minorHAnsi" w:eastAsiaTheme="minorEastAsia" w:hAnsiTheme="minorHAnsi" w:cstheme="minorBidi"/>
                <w:b w:val="0"/>
                <w:bCs w:val="0"/>
                <w:caps w:val="0"/>
                <w:lang w:eastAsia="en-GB"/>
              </w:rPr>
              <w:tab/>
            </w:r>
            <w:r w:rsidR="00547627" w:rsidRPr="0042023B">
              <w:rPr>
                <w:rStyle w:val="Hyperlink"/>
              </w:rPr>
              <w:t>Rights granted to investors</w:t>
            </w:r>
            <w:r w:rsidR="00547627">
              <w:rPr>
                <w:webHidden/>
              </w:rPr>
              <w:tab/>
            </w:r>
            <w:r w:rsidR="00547627">
              <w:rPr>
                <w:webHidden/>
              </w:rPr>
              <w:fldChar w:fldCharType="begin"/>
            </w:r>
            <w:r w:rsidR="00547627">
              <w:rPr>
                <w:webHidden/>
              </w:rPr>
              <w:instrText xml:space="preserve"> PAGEREF _Toc522130163 \h </w:instrText>
            </w:r>
            <w:r w:rsidR="00547627">
              <w:rPr>
                <w:webHidden/>
              </w:rPr>
            </w:r>
            <w:r w:rsidR="00547627">
              <w:rPr>
                <w:webHidden/>
              </w:rPr>
              <w:fldChar w:fldCharType="separate"/>
            </w:r>
            <w:r w:rsidR="00547627">
              <w:rPr>
                <w:webHidden/>
              </w:rPr>
              <w:t>27</w:t>
            </w:r>
            <w:r w:rsidR="00547627">
              <w:rPr>
                <w:webHidden/>
              </w:rPr>
              <w:fldChar w:fldCharType="end"/>
            </w:r>
          </w:hyperlink>
        </w:p>
        <w:p w14:paraId="6FDE276C" w14:textId="2D955492" w:rsidR="00547627" w:rsidRDefault="00CD61D0">
          <w:pPr>
            <w:pStyle w:val="TOC1"/>
            <w:rPr>
              <w:rFonts w:asciiTheme="minorHAnsi" w:eastAsiaTheme="minorEastAsia" w:hAnsiTheme="minorHAnsi" w:cstheme="minorBidi"/>
              <w:b w:val="0"/>
              <w:bCs w:val="0"/>
              <w:caps w:val="0"/>
              <w:lang w:eastAsia="en-GB"/>
            </w:rPr>
          </w:pPr>
          <w:hyperlink w:anchor="_Toc522130164" w:history="1">
            <w:r w:rsidR="00547627" w:rsidRPr="0042023B">
              <w:rPr>
                <w:rStyle w:val="Hyperlink"/>
              </w:rPr>
              <w:t>2</w:t>
            </w:r>
            <w:r w:rsidR="00547627">
              <w:rPr>
                <w:rFonts w:asciiTheme="minorHAnsi" w:eastAsiaTheme="minorEastAsia" w:hAnsiTheme="minorHAnsi" w:cstheme="minorBidi"/>
                <w:b w:val="0"/>
                <w:bCs w:val="0"/>
                <w:caps w:val="0"/>
                <w:lang w:eastAsia="en-GB"/>
              </w:rPr>
              <w:tab/>
            </w:r>
            <w:r w:rsidR="00547627" w:rsidRPr="0042023B">
              <w:rPr>
                <w:rStyle w:val="Hyperlink"/>
              </w:rPr>
              <w:t>Rights granted to the investors’ family members</w:t>
            </w:r>
            <w:r w:rsidR="00547627">
              <w:rPr>
                <w:webHidden/>
              </w:rPr>
              <w:tab/>
            </w:r>
            <w:r w:rsidR="00547627">
              <w:rPr>
                <w:webHidden/>
              </w:rPr>
              <w:fldChar w:fldCharType="begin"/>
            </w:r>
            <w:r w:rsidR="00547627">
              <w:rPr>
                <w:webHidden/>
              </w:rPr>
              <w:instrText xml:space="preserve"> PAGEREF _Toc522130164 \h </w:instrText>
            </w:r>
            <w:r w:rsidR="00547627">
              <w:rPr>
                <w:webHidden/>
              </w:rPr>
            </w:r>
            <w:r w:rsidR="00547627">
              <w:rPr>
                <w:webHidden/>
              </w:rPr>
              <w:fldChar w:fldCharType="separate"/>
            </w:r>
            <w:r w:rsidR="00547627">
              <w:rPr>
                <w:webHidden/>
              </w:rPr>
              <w:t>27</w:t>
            </w:r>
            <w:r w:rsidR="00547627">
              <w:rPr>
                <w:webHidden/>
              </w:rPr>
              <w:fldChar w:fldCharType="end"/>
            </w:r>
          </w:hyperlink>
        </w:p>
        <w:p w14:paraId="389B3D84" w14:textId="210F02C3" w:rsidR="00547627" w:rsidRDefault="00CD61D0">
          <w:pPr>
            <w:pStyle w:val="TOC1"/>
            <w:rPr>
              <w:rFonts w:asciiTheme="minorHAnsi" w:eastAsiaTheme="minorEastAsia" w:hAnsiTheme="minorHAnsi" w:cstheme="minorBidi"/>
              <w:b w:val="0"/>
              <w:bCs w:val="0"/>
              <w:caps w:val="0"/>
              <w:lang w:eastAsia="en-GB"/>
            </w:rPr>
          </w:pPr>
          <w:hyperlink w:anchor="_Toc522130165" w:history="1">
            <w:r w:rsidR="00547627" w:rsidRPr="0042023B">
              <w:rPr>
                <w:rStyle w:val="Hyperlink"/>
              </w:rPr>
              <w:t>3</w:t>
            </w:r>
            <w:r w:rsidR="00547627">
              <w:rPr>
                <w:rFonts w:asciiTheme="minorHAnsi" w:eastAsiaTheme="minorEastAsia" w:hAnsiTheme="minorHAnsi" w:cstheme="minorBidi"/>
                <w:b w:val="0"/>
                <w:bCs w:val="0"/>
                <w:caps w:val="0"/>
                <w:lang w:eastAsia="en-GB"/>
              </w:rPr>
              <w:tab/>
            </w:r>
            <w:r w:rsidR="00547627" w:rsidRPr="0042023B">
              <w:rPr>
                <w:rStyle w:val="Hyperlink"/>
              </w:rPr>
              <w:t>Other benefits</w:t>
            </w:r>
            <w:r w:rsidR="00547627">
              <w:rPr>
                <w:webHidden/>
              </w:rPr>
              <w:tab/>
            </w:r>
            <w:r w:rsidR="00547627">
              <w:rPr>
                <w:webHidden/>
              </w:rPr>
              <w:fldChar w:fldCharType="begin"/>
            </w:r>
            <w:r w:rsidR="00547627">
              <w:rPr>
                <w:webHidden/>
              </w:rPr>
              <w:instrText xml:space="preserve"> PAGEREF _Toc522130165 \h </w:instrText>
            </w:r>
            <w:r w:rsidR="00547627">
              <w:rPr>
                <w:webHidden/>
              </w:rPr>
            </w:r>
            <w:r w:rsidR="00547627">
              <w:rPr>
                <w:webHidden/>
              </w:rPr>
              <w:fldChar w:fldCharType="separate"/>
            </w:r>
            <w:r w:rsidR="00547627">
              <w:rPr>
                <w:webHidden/>
              </w:rPr>
              <w:t>28</w:t>
            </w:r>
            <w:r w:rsidR="00547627">
              <w:rPr>
                <w:webHidden/>
              </w:rPr>
              <w:fldChar w:fldCharType="end"/>
            </w:r>
          </w:hyperlink>
        </w:p>
        <w:p w14:paraId="3693BE5B" w14:textId="4B4B6D04" w:rsidR="00547627" w:rsidRDefault="00CD61D0">
          <w:pPr>
            <w:pStyle w:val="TOC1"/>
            <w:rPr>
              <w:rFonts w:asciiTheme="minorHAnsi" w:eastAsiaTheme="minorEastAsia" w:hAnsiTheme="minorHAnsi" w:cstheme="minorBidi"/>
              <w:b w:val="0"/>
              <w:bCs w:val="0"/>
              <w:caps w:val="0"/>
              <w:lang w:eastAsia="en-GB"/>
            </w:rPr>
          </w:pPr>
          <w:hyperlink w:anchor="_Toc522130166" w:history="1">
            <w:r w:rsidR="00547627" w:rsidRPr="0042023B">
              <w:rPr>
                <w:rStyle w:val="Hyperlink"/>
              </w:rPr>
              <w:t>IV.</w:t>
            </w:r>
            <w:r w:rsidR="00547627">
              <w:rPr>
                <w:rFonts w:asciiTheme="minorHAnsi" w:eastAsiaTheme="minorEastAsia" w:hAnsiTheme="minorHAnsi" w:cstheme="minorBidi"/>
                <w:b w:val="0"/>
                <w:bCs w:val="0"/>
                <w:caps w:val="0"/>
                <w:lang w:eastAsia="en-GB"/>
              </w:rPr>
              <w:tab/>
            </w:r>
            <w:r w:rsidR="00547627" w:rsidRPr="0042023B">
              <w:rPr>
                <w:rStyle w:val="Hyperlink"/>
              </w:rPr>
              <w:t>INTERACTION BETWEEN RESIDENCE AND CITIZENSHIP SCHEMES</w:t>
            </w:r>
            <w:r w:rsidR="00547627">
              <w:rPr>
                <w:webHidden/>
              </w:rPr>
              <w:tab/>
            </w:r>
            <w:r w:rsidR="00547627">
              <w:rPr>
                <w:webHidden/>
              </w:rPr>
              <w:fldChar w:fldCharType="begin"/>
            </w:r>
            <w:r w:rsidR="00547627">
              <w:rPr>
                <w:webHidden/>
              </w:rPr>
              <w:instrText xml:space="preserve"> PAGEREF _Toc522130166 \h </w:instrText>
            </w:r>
            <w:r w:rsidR="00547627">
              <w:rPr>
                <w:webHidden/>
              </w:rPr>
            </w:r>
            <w:r w:rsidR="00547627">
              <w:rPr>
                <w:webHidden/>
              </w:rPr>
              <w:fldChar w:fldCharType="separate"/>
            </w:r>
            <w:r w:rsidR="00547627">
              <w:rPr>
                <w:webHidden/>
              </w:rPr>
              <w:t>29</w:t>
            </w:r>
            <w:r w:rsidR="00547627">
              <w:rPr>
                <w:webHidden/>
              </w:rPr>
              <w:fldChar w:fldCharType="end"/>
            </w:r>
          </w:hyperlink>
        </w:p>
        <w:p w14:paraId="5CFA74E2" w14:textId="09D52AF4" w:rsidR="00547627" w:rsidRDefault="00CD61D0">
          <w:pPr>
            <w:pStyle w:val="TOC1"/>
            <w:rPr>
              <w:rFonts w:asciiTheme="minorHAnsi" w:eastAsiaTheme="minorEastAsia" w:hAnsiTheme="minorHAnsi" w:cstheme="minorBidi"/>
              <w:b w:val="0"/>
              <w:bCs w:val="0"/>
              <w:caps w:val="0"/>
              <w:lang w:eastAsia="en-GB"/>
            </w:rPr>
          </w:pPr>
          <w:hyperlink w:anchor="_Toc522130167" w:history="1">
            <w:r w:rsidR="00547627" w:rsidRPr="0042023B">
              <w:rPr>
                <w:rStyle w:val="Hyperlink"/>
              </w:rPr>
              <w:t>V.</w:t>
            </w:r>
            <w:r w:rsidR="00547627">
              <w:rPr>
                <w:rFonts w:asciiTheme="minorHAnsi" w:eastAsiaTheme="minorEastAsia" w:hAnsiTheme="minorHAnsi" w:cstheme="minorBidi"/>
                <w:b w:val="0"/>
                <w:bCs w:val="0"/>
                <w:caps w:val="0"/>
                <w:lang w:eastAsia="en-GB"/>
              </w:rPr>
              <w:tab/>
            </w:r>
            <w:r w:rsidR="00547627" w:rsidRPr="0042023B">
              <w:rPr>
                <w:rStyle w:val="Hyperlink"/>
              </w:rPr>
              <w:t>ECONOMIC AND FINANCIAL EFFICIENCY OF RESIDENCE PERMITS FOR FOREIGN INVESTORS</w:t>
            </w:r>
            <w:r w:rsidR="00547627">
              <w:rPr>
                <w:webHidden/>
              </w:rPr>
              <w:tab/>
            </w:r>
            <w:r w:rsidR="00547627">
              <w:rPr>
                <w:webHidden/>
              </w:rPr>
              <w:fldChar w:fldCharType="begin"/>
            </w:r>
            <w:r w:rsidR="00547627">
              <w:rPr>
                <w:webHidden/>
              </w:rPr>
              <w:instrText xml:space="preserve"> PAGEREF _Toc522130167 \h </w:instrText>
            </w:r>
            <w:r w:rsidR="00547627">
              <w:rPr>
                <w:webHidden/>
              </w:rPr>
            </w:r>
            <w:r w:rsidR="00547627">
              <w:rPr>
                <w:webHidden/>
              </w:rPr>
              <w:fldChar w:fldCharType="separate"/>
            </w:r>
            <w:r w:rsidR="00547627">
              <w:rPr>
                <w:webHidden/>
              </w:rPr>
              <w:t>30</w:t>
            </w:r>
            <w:r w:rsidR="00547627">
              <w:rPr>
                <w:webHidden/>
              </w:rPr>
              <w:fldChar w:fldCharType="end"/>
            </w:r>
          </w:hyperlink>
        </w:p>
        <w:p w14:paraId="0F62FB6A" w14:textId="60578932" w:rsidR="00547627" w:rsidRDefault="00CD61D0">
          <w:pPr>
            <w:pStyle w:val="TOC1"/>
            <w:rPr>
              <w:rFonts w:asciiTheme="minorHAnsi" w:eastAsiaTheme="minorEastAsia" w:hAnsiTheme="minorHAnsi" w:cstheme="minorBidi"/>
              <w:b w:val="0"/>
              <w:bCs w:val="0"/>
              <w:caps w:val="0"/>
              <w:lang w:eastAsia="en-GB"/>
            </w:rPr>
          </w:pPr>
          <w:hyperlink w:anchor="_Toc522130168" w:history="1">
            <w:r w:rsidR="00547627" w:rsidRPr="0042023B">
              <w:rPr>
                <w:rStyle w:val="Hyperlink"/>
              </w:rPr>
              <w:t>VI.</w:t>
            </w:r>
            <w:r w:rsidR="00547627">
              <w:rPr>
                <w:rFonts w:asciiTheme="minorHAnsi" w:eastAsiaTheme="minorEastAsia" w:hAnsiTheme="minorHAnsi" w:cstheme="minorBidi"/>
                <w:b w:val="0"/>
                <w:bCs w:val="0"/>
                <w:caps w:val="0"/>
                <w:lang w:eastAsia="en-GB"/>
              </w:rPr>
              <w:tab/>
            </w:r>
            <w:r w:rsidR="00547627" w:rsidRPr="0042023B">
              <w:rPr>
                <w:rStyle w:val="Hyperlink"/>
              </w:rPr>
              <w:t>OTHER COMMENTS</w:t>
            </w:r>
            <w:r w:rsidR="00547627">
              <w:rPr>
                <w:webHidden/>
              </w:rPr>
              <w:tab/>
            </w:r>
            <w:r w:rsidR="00547627">
              <w:rPr>
                <w:webHidden/>
              </w:rPr>
              <w:fldChar w:fldCharType="begin"/>
            </w:r>
            <w:r w:rsidR="00547627">
              <w:rPr>
                <w:webHidden/>
              </w:rPr>
              <w:instrText xml:space="preserve"> PAGEREF _Toc522130168 \h </w:instrText>
            </w:r>
            <w:r w:rsidR="00547627">
              <w:rPr>
                <w:webHidden/>
              </w:rPr>
            </w:r>
            <w:r w:rsidR="00547627">
              <w:rPr>
                <w:webHidden/>
              </w:rPr>
              <w:fldChar w:fldCharType="separate"/>
            </w:r>
            <w:r w:rsidR="00547627">
              <w:rPr>
                <w:webHidden/>
              </w:rPr>
              <w:t>31</w:t>
            </w:r>
            <w:r w:rsidR="00547627">
              <w:rPr>
                <w:webHidden/>
              </w:rPr>
              <w:fldChar w:fldCharType="end"/>
            </w:r>
          </w:hyperlink>
        </w:p>
        <w:p w14:paraId="5428D83B" w14:textId="5EA9C98E" w:rsidR="00F90C45" w:rsidRPr="006C6C4F" w:rsidRDefault="00F90C45">
          <w:r w:rsidRPr="006C6C4F">
            <w:rPr>
              <w:b/>
              <w:bCs/>
              <w:noProof/>
            </w:rPr>
            <w:fldChar w:fldCharType="end"/>
          </w:r>
        </w:p>
      </w:sdtContent>
    </w:sdt>
    <w:p w14:paraId="76B5782E" w14:textId="77777777" w:rsidR="009F3034" w:rsidRDefault="009F3034">
      <w:pPr>
        <w:rPr>
          <w:sz w:val="22"/>
        </w:rPr>
      </w:pPr>
      <w:r>
        <w:rPr>
          <w:sz w:val="22"/>
        </w:rPr>
        <w:br w:type="page"/>
      </w:r>
    </w:p>
    <w:p w14:paraId="3A92EAF0" w14:textId="35E6EA40" w:rsidR="001F14FD" w:rsidRPr="006C6C4F" w:rsidRDefault="00E37DCF" w:rsidP="001F14FD">
      <w:r>
        <w:rPr>
          <w:sz w:val="22"/>
        </w:rPr>
        <w:lastRenderedPageBreak/>
        <w:br w:type="page"/>
      </w:r>
    </w:p>
    <w:p w14:paraId="314BBEDF" w14:textId="77777777" w:rsidR="001F14FD" w:rsidRPr="006C6C4F" w:rsidRDefault="001F14FD" w:rsidP="00AC2EEB">
      <w:pPr>
        <w:pStyle w:val="Heading1"/>
        <w:numPr>
          <w:ilvl w:val="0"/>
          <w:numId w:val="0"/>
        </w:numPr>
        <w:ind w:left="432"/>
        <w:rPr>
          <w:rFonts w:ascii="Century Gothic" w:hAnsi="Century Gothic"/>
          <w:u w:val="none"/>
        </w:rPr>
        <w:sectPr w:rsidR="001F14FD" w:rsidRPr="006C6C4F" w:rsidSect="00351E21">
          <w:pgSz w:w="11906" w:h="16838" w:code="9"/>
          <w:pgMar w:top="1418" w:right="1418" w:bottom="1418" w:left="1418" w:header="709" w:footer="709" w:gutter="0"/>
          <w:cols w:space="708"/>
          <w:docGrid w:linePitch="360"/>
        </w:sectPr>
      </w:pPr>
      <w:bookmarkStart w:id="0" w:name="_Toc126474778"/>
    </w:p>
    <w:p w14:paraId="41E64801" w14:textId="77777777" w:rsidR="00AC2EEB" w:rsidRPr="006C6C4F" w:rsidRDefault="00AC2EEB" w:rsidP="00613C2F">
      <w:pPr>
        <w:pStyle w:val="MH1nonumb"/>
        <w:numPr>
          <w:ilvl w:val="0"/>
          <w:numId w:val="10"/>
        </w:numPr>
        <w:ind w:left="426" w:hanging="284"/>
      </w:pPr>
      <w:bookmarkStart w:id="1" w:name="_Toc496025532"/>
      <w:bookmarkStart w:id="2" w:name="_Toc496124919"/>
      <w:bookmarkStart w:id="3" w:name="_Toc522130156"/>
      <w:bookmarkEnd w:id="0"/>
      <w:r w:rsidRPr="006C6C4F">
        <w:lastRenderedPageBreak/>
        <w:t>GENERAL BACKGROUND</w:t>
      </w:r>
      <w:bookmarkEnd w:id="1"/>
      <w:bookmarkEnd w:id="2"/>
      <w:bookmarkEnd w:id="3"/>
    </w:p>
    <w:p w14:paraId="3A6523C8" w14:textId="77777777" w:rsidR="00EF0970" w:rsidRPr="00BD2F76" w:rsidRDefault="001D7DA5" w:rsidP="00BD2F76">
      <w:pPr>
        <w:pStyle w:val="MMultileveltable"/>
        <w:ind w:left="426"/>
        <w:rPr>
          <w:b/>
          <w:i/>
        </w:rPr>
      </w:pPr>
      <w:bookmarkStart w:id="4" w:name="_Hlk517212597"/>
      <w:r w:rsidRPr="00BD2F76">
        <w:rPr>
          <w:b/>
          <w:i/>
        </w:rPr>
        <w:t>Legal background</w:t>
      </w:r>
    </w:p>
    <w:bookmarkEnd w:id="4"/>
    <w:p w14:paraId="551A8C31" w14:textId="77777777" w:rsidR="00EF0970" w:rsidRPr="006C6C4F" w:rsidRDefault="00EF0970" w:rsidP="00EF0970">
      <w:pPr>
        <w:pStyle w:val="MMultilevel"/>
        <w:rPr>
          <w:lang w:val="en-GB"/>
        </w:rPr>
      </w:pPr>
    </w:p>
    <w:p w14:paraId="4083B0FB" w14:textId="27A1ABCE" w:rsidR="00303ADD" w:rsidRDefault="00CB6976" w:rsidP="00CB6976">
      <w:pPr>
        <w:pStyle w:val="MMultilevel"/>
        <w:rPr>
          <w:lang w:val="en-GB"/>
        </w:rPr>
      </w:pPr>
      <w:r w:rsidRPr="0029794F">
        <w:rPr>
          <w:lang w:val="en-GB"/>
        </w:rPr>
        <w:t xml:space="preserve">The system of foreigners’ admission to </w:t>
      </w:r>
      <w:r>
        <w:rPr>
          <w:lang w:val="en-GB"/>
        </w:rPr>
        <w:t>Lithuania</w:t>
      </w:r>
      <w:r w:rsidRPr="0029794F">
        <w:rPr>
          <w:lang w:val="en-GB"/>
        </w:rPr>
        <w:t xml:space="preserve"> </w:t>
      </w:r>
      <w:r w:rsidRPr="00B85F19">
        <w:rPr>
          <w:b/>
          <w:lang w:val="en-GB"/>
        </w:rPr>
        <w:t>does not</w:t>
      </w:r>
      <w:r w:rsidRPr="0029794F">
        <w:rPr>
          <w:lang w:val="en-GB"/>
        </w:rPr>
        <w:t xml:space="preserve"> provide for any </w:t>
      </w:r>
      <w:r w:rsidRPr="00B85F19">
        <w:rPr>
          <w:b/>
          <w:lang w:val="en-GB"/>
        </w:rPr>
        <w:t>special programme</w:t>
      </w:r>
      <w:r w:rsidRPr="0029794F">
        <w:rPr>
          <w:lang w:val="en-GB"/>
        </w:rPr>
        <w:t xml:space="preserve"> addressing foreigners arriving to the country for business purposes and does not include any targeted legal regulation in this respect.</w:t>
      </w:r>
      <w:r w:rsidR="00303ADD" w:rsidRPr="00E07DA1">
        <w:rPr>
          <w:rStyle w:val="FootnoteReference"/>
          <w:rFonts w:eastAsia="MinionPro-Regular"/>
        </w:rPr>
        <w:footnoteReference w:id="1"/>
      </w:r>
      <w:r w:rsidRPr="0029794F">
        <w:rPr>
          <w:lang w:val="en-GB"/>
        </w:rPr>
        <w:t xml:space="preserve"> </w:t>
      </w:r>
    </w:p>
    <w:p w14:paraId="46EA0342" w14:textId="77777777" w:rsidR="00CB6976" w:rsidRPr="0029794F" w:rsidRDefault="00CB6976" w:rsidP="00CB6976">
      <w:pPr>
        <w:pStyle w:val="MMultilevel"/>
        <w:rPr>
          <w:lang w:val="en-GB"/>
        </w:rPr>
      </w:pPr>
    </w:p>
    <w:p w14:paraId="4ABF624B" w14:textId="3506114B" w:rsidR="006C0B64" w:rsidRPr="007E6C11" w:rsidRDefault="005266B8" w:rsidP="006C0B64">
      <w:pPr>
        <w:pStyle w:val="MMultilevel"/>
        <w:rPr>
          <w:bCs w:val="0"/>
          <w:lang w:val="en-GB"/>
        </w:rPr>
      </w:pPr>
      <w:r>
        <w:rPr>
          <w:lang w:val="en-GB"/>
        </w:rPr>
        <w:t>In Lithuania, t</w:t>
      </w:r>
      <w:r w:rsidRPr="006C6C4F">
        <w:rPr>
          <w:lang w:val="en-GB"/>
        </w:rPr>
        <w:t>he Law on the Legal Status of Aliens</w:t>
      </w:r>
      <w:r w:rsidRPr="007F6C0B">
        <w:rPr>
          <w:rStyle w:val="FootnoteReference"/>
        </w:rPr>
        <w:footnoteReference w:id="2"/>
      </w:r>
      <w:r w:rsidRPr="006C6C4F">
        <w:rPr>
          <w:lang w:val="en-GB"/>
        </w:rPr>
        <w:t xml:space="preserve"> (LLSA) regulates the granting of temporary residence permits</w:t>
      </w:r>
      <w:r w:rsidRPr="007F6C0B">
        <w:rPr>
          <w:rStyle w:val="FootnoteReference"/>
        </w:rPr>
        <w:footnoteReference w:id="3"/>
      </w:r>
      <w:r>
        <w:rPr>
          <w:lang w:val="en-GB"/>
        </w:rPr>
        <w:t xml:space="preserve"> (TRP)</w:t>
      </w:r>
      <w:r w:rsidRPr="006C6C4F">
        <w:rPr>
          <w:lang w:val="en-GB"/>
        </w:rPr>
        <w:t xml:space="preserve"> for foreigners, i.e. third-country nationals, who carry o</w:t>
      </w:r>
      <w:r>
        <w:rPr>
          <w:lang w:val="en-GB"/>
        </w:rPr>
        <w:t>ut</w:t>
      </w:r>
      <w:r w:rsidRPr="006C6C4F">
        <w:rPr>
          <w:lang w:val="en-GB"/>
        </w:rPr>
        <w:t xml:space="preserve"> lawful (economic) activities.</w:t>
      </w:r>
      <w:r w:rsidRPr="007F6C0B">
        <w:rPr>
          <w:rStyle w:val="FootnoteReference"/>
        </w:rPr>
        <w:footnoteReference w:id="4"/>
      </w:r>
      <w:r w:rsidRPr="006C6C4F">
        <w:rPr>
          <w:lang w:val="en-GB"/>
        </w:rPr>
        <w:t xml:space="preserve"> </w:t>
      </w:r>
      <w:r w:rsidR="00303ADD">
        <w:rPr>
          <w:lang w:val="en-GB"/>
        </w:rPr>
        <w:t xml:space="preserve">Specifically, </w:t>
      </w:r>
      <w:r w:rsidR="00303ADD">
        <w:t>Articles 45.1(1)</w:t>
      </w:r>
      <w:r w:rsidR="00FF7BBA">
        <w:t>, Articles 45.1(2)</w:t>
      </w:r>
      <w:r w:rsidR="00303ADD">
        <w:t xml:space="preserve"> and 45.1(2</w:t>
      </w:r>
      <w:r w:rsidR="00FF7BBA" w:rsidRPr="00FF7BBA">
        <w:rPr>
          <w:vertAlign w:val="superscript"/>
          <w:lang w:val="en-GB"/>
        </w:rPr>
        <w:t>1</w:t>
      </w:r>
      <w:r w:rsidR="00303ADD">
        <w:t xml:space="preserve">) LLSA provide a possibility for </w:t>
      </w:r>
      <w:r w:rsidR="00303ADD">
        <w:rPr>
          <w:lang w:val="en-GB"/>
        </w:rPr>
        <w:t>f</w:t>
      </w:r>
      <w:r w:rsidRPr="006C6C4F">
        <w:rPr>
          <w:lang w:val="en-GB"/>
        </w:rPr>
        <w:t xml:space="preserve">oreign investors </w:t>
      </w:r>
      <w:r w:rsidR="00303ADD">
        <w:rPr>
          <w:lang w:val="en-GB"/>
        </w:rPr>
        <w:t>to</w:t>
      </w:r>
      <w:r w:rsidRPr="006C6C4F">
        <w:rPr>
          <w:lang w:val="en-GB"/>
        </w:rPr>
        <w:t xml:space="preserve"> apply for temporary residence if </w:t>
      </w:r>
      <w:r w:rsidR="005B62CD">
        <w:rPr>
          <w:lang w:val="en-GB"/>
        </w:rPr>
        <w:t>they carry out an investment which meets the legal thresholds (see below in this Report) and actively participate in the running of the business</w:t>
      </w:r>
      <w:r w:rsidR="00812B1C">
        <w:t>.</w:t>
      </w:r>
      <w:r w:rsidRPr="006C6C4F">
        <w:rPr>
          <w:bCs w:val="0"/>
          <w:lang w:val="en-GB"/>
        </w:rPr>
        <w:t xml:space="preserve"> </w:t>
      </w:r>
      <w:r w:rsidR="006C0B64" w:rsidRPr="006C6C4F">
        <w:rPr>
          <w:bCs w:val="0"/>
          <w:lang w:val="en-GB"/>
        </w:rPr>
        <w:t xml:space="preserve">Thus, </w:t>
      </w:r>
      <w:r w:rsidR="006C0B64" w:rsidRPr="006C7F9B">
        <w:rPr>
          <w:bCs w:val="0"/>
          <w:lang w:val="en-GB"/>
        </w:rPr>
        <w:t>Lithuanian law does not grant residence on investment alone (‘silent’ investment):</w:t>
      </w:r>
      <w:r w:rsidR="006C7F9B" w:rsidRPr="006C7F9B">
        <w:rPr>
          <w:bCs w:val="0"/>
          <w:lang w:val="en-GB"/>
        </w:rPr>
        <w:t xml:space="preserve"> ‘</w:t>
      </w:r>
      <w:r w:rsidR="006C7F9B" w:rsidRPr="006C7F9B">
        <w:rPr>
          <w:rFonts w:eastAsia="MinionPro-Regular"/>
          <w:lang w:eastAsia="en-GB"/>
        </w:rPr>
        <w:t>An alien can be admitted to the country only if he/she is a participant of an enterprise registered in Lithuania (e.g., if he/she is the manager, member of its collegial management board, or a shareholder who holds shares equivalent to no less than 1/3 of the share capital).</w:t>
      </w:r>
      <w:r w:rsidR="006C7F9B">
        <w:rPr>
          <w:rFonts w:eastAsia="MinionPro-Regular"/>
          <w:lang w:eastAsia="en-GB"/>
        </w:rPr>
        <w:t>’</w:t>
      </w:r>
      <w:r w:rsidR="006C7F9B" w:rsidRPr="006C7F9B">
        <w:rPr>
          <w:rStyle w:val="FootnoteReference"/>
          <w:rFonts w:eastAsia="MinionPro-Regular"/>
        </w:rPr>
        <w:footnoteReference w:id="5"/>
      </w:r>
      <w:r w:rsidR="00BC7B67">
        <w:rPr>
          <w:rFonts w:eastAsia="MinionPro-Regular"/>
          <w:lang w:eastAsia="en-GB"/>
        </w:rPr>
        <w:t xml:space="preserve"> </w:t>
      </w:r>
      <w:r w:rsidR="00BC7B67">
        <w:t>In other words, the</w:t>
      </w:r>
      <w:r w:rsidR="00BC7B67" w:rsidRPr="006C6C4F">
        <w:t xml:space="preserve"> main purpose of the</w:t>
      </w:r>
      <w:r w:rsidR="00BC7B67">
        <w:t xml:space="preserve"> foreign</w:t>
      </w:r>
      <w:r w:rsidR="00BC7B67" w:rsidRPr="006C6C4F">
        <w:t xml:space="preserve"> investor’s arrival </w:t>
      </w:r>
      <w:r w:rsidR="00BC7B67">
        <w:t>must</w:t>
      </w:r>
      <w:r w:rsidR="00BC7B67" w:rsidRPr="006C6C4F">
        <w:t xml:space="preserve"> be to work in their business</w:t>
      </w:r>
      <w:r w:rsidR="00BC7B67">
        <w:t xml:space="preserve"> (‘participant in the enterprise’).</w:t>
      </w:r>
      <w:r w:rsidR="00BC7B67" w:rsidRPr="00551540">
        <w:rPr>
          <w:rStyle w:val="FootnoteReference"/>
        </w:rPr>
        <w:footnoteReference w:id="6"/>
      </w:r>
      <w:r w:rsidR="002721B3">
        <w:t xml:space="preserve"> The legislation differentiates three roles in which the investor may participate in the company</w:t>
      </w:r>
      <w:r w:rsidR="00036A24">
        <w:t xml:space="preserve">: as owners, as shareholders or as ‘manager of an enterprise’. It should be noted that the term ‘manager of an enterprise’ is used to indicate that the person is actively involved in the running of the company. </w:t>
      </w:r>
      <w:r w:rsidR="00036A24" w:rsidRPr="00036A24">
        <w:rPr>
          <w:lang w:val="en-GB"/>
        </w:rPr>
        <w:t>Thus</w:t>
      </w:r>
      <w:r w:rsidR="00036A24">
        <w:rPr>
          <w:lang w:val="en-GB"/>
        </w:rPr>
        <w:t>,</w:t>
      </w:r>
      <w:r w:rsidR="00036A24" w:rsidRPr="00036A24">
        <w:rPr>
          <w:lang w:val="en-GB"/>
        </w:rPr>
        <w:t xml:space="preserve"> a ‘manager of the enterprise’ could be a director in a limited company (UAB or AB); or an appointed general manager in a partnership (MB); or an appointed administration manager in an Agricultural Company (ŽŪB); or a person running an individual enterprise (IĮ)</w:t>
      </w:r>
      <w:r w:rsidR="00036A24">
        <w:rPr>
          <w:rStyle w:val="FootnoteReference"/>
          <w:lang w:val="en-GB"/>
        </w:rPr>
        <w:footnoteReference w:id="7"/>
      </w:r>
      <w:r w:rsidR="00036A24" w:rsidRPr="00036A24">
        <w:rPr>
          <w:lang w:val="en-GB"/>
        </w:rPr>
        <w:t>.</w:t>
      </w:r>
      <w:r w:rsidR="0004214F">
        <w:rPr>
          <w:lang w:val="en-GB"/>
        </w:rPr>
        <w:t xml:space="preserve"> </w:t>
      </w:r>
    </w:p>
    <w:p w14:paraId="2D457130" w14:textId="434F0521" w:rsidR="00FF7BBA" w:rsidRDefault="00FF7BBA" w:rsidP="005266B8">
      <w:pPr>
        <w:pStyle w:val="MMultilevel"/>
        <w:rPr>
          <w:bCs w:val="0"/>
          <w:lang w:val="en-GB"/>
        </w:rPr>
      </w:pPr>
    </w:p>
    <w:p w14:paraId="263970DC" w14:textId="5B63ADA3" w:rsidR="002604A2" w:rsidRDefault="00FF7BBA" w:rsidP="005266B8">
      <w:pPr>
        <w:pStyle w:val="MMultilevel"/>
      </w:pPr>
      <w:r w:rsidRPr="002604A2">
        <w:t xml:space="preserve">The </w:t>
      </w:r>
      <w:r>
        <w:rPr>
          <w:bCs w:val="0"/>
        </w:rPr>
        <w:t>Lithuanian</w:t>
      </w:r>
      <w:r w:rsidRPr="002604A2">
        <w:t xml:space="preserve"> legislation does not explicitly i</w:t>
      </w:r>
      <w:r w:rsidR="006C7F9B">
        <w:t xml:space="preserve">ndicate which </w:t>
      </w:r>
      <w:r w:rsidR="005B62CD">
        <w:t>types of companies</w:t>
      </w:r>
      <w:r w:rsidRPr="002604A2">
        <w:t xml:space="preserve"> </w:t>
      </w:r>
      <w:r>
        <w:rPr>
          <w:bCs w:val="0"/>
        </w:rPr>
        <w:t>investors</w:t>
      </w:r>
      <w:r w:rsidRPr="002604A2">
        <w:t xml:space="preserve"> may set up. </w:t>
      </w:r>
      <w:r>
        <w:t>The wording of Articles 45.1(1), 45.1(2) and 45.1(2</w:t>
      </w:r>
      <w:r w:rsidRPr="00FF7BBA">
        <w:rPr>
          <w:vertAlign w:val="superscript"/>
          <w:lang w:val="en-GB"/>
        </w:rPr>
        <w:t>1</w:t>
      </w:r>
      <w:r>
        <w:t xml:space="preserve">) LLSA indicates </w:t>
      </w:r>
      <w:r w:rsidR="005B62CD">
        <w:t>a</w:t>
      </w:r>
      <w:r w:rsidR="006C0B64">
        <w:t xml:space="preserve"> distinction between joint stock enterprises (where liability is limited by shares) and other types of enterprises, </w:t>
      </w:r>
      <w:r w:rsidR="006C7F9B">
        <w:t>which</w:t>
      </w:r>
      <w:r w:rsidR="006C0B64">
        <w:t xml:space="preserve"> </w:t>
      </w:r>
      <w:r w:rsidR="004F785B">
        <w:t>in practice</w:t>
      </w:r>
      <w:r w:rsidR="006C0B64">
        <w:t xml:space="preserve"> could include a </w:t>
      </w:r>
      <w:r w:rsidR="006C0B64" w:rsidRPr="004534E9">
        <w:t xml:space="preserve">limited </w:t>
      </w:r>
      <w:r w:rsidR="006C0B64">
        <w:t>a</w:t>
      </w:r>
      <w:r w:rsidR="006C0B64" w:rsidRPr="004534E9">
        <w:t xml:space="preserve"> partnership (MB)</w:t>
      </w:r>
      <w:r w:rsidR="00D03FF9">
        <w:t>,</w:t>
      </w:r>
      <w:r w:rsidR="006C0B64" w:rsidRPr="004534E9">
        <w:t xml:space="preserve"> </w:t>
      </w:r>
      <w:r w:rsidR="006C0B64">
        <w:t>an</w:t>
      </w:r>
      <w:r w:rsidR="006C0B64" w:rsidRPr="004534E9">
        <w:t xml:space="preserve"> Agricultural Company (ŽŪB)</w:t>
      </w:r>
      <w:r w:rsidR="00D03FF9">
        <w:t>,</w:t>
      </w:r>
      <w:r w:rsidR="006C0B64" w:rsidRPr="004534E9">
        <w:t xml:space="preserve"> or an individual enterprise (IĮ)</w:t>
      </w:r>
      <w:r w:rsidR="006C0B64">
        <w:t>.</w:t>
      </w:r>
      <w:r w:rsidR="002604A2" w:rsidRPr="00E07DA1">
        <w:rPr>
          <w:rStyle w:val="FootnoteReference"/>
          <w:sz w:val="24"/>
          <w:szCs w:val="24"/>
        </w:rPr>
        <w:footnoteReference w:id="8"/>
      </w:r>
      <w:r w:rsidR="00934EA8">
        <w:t xml:space="preserve"> F</w:t>
      </w:r>
      <w:r w:rsidR="006C0B64">
        <w:t>or the purpose</w:t>
      </w:r>
      <w:r w:rsidR="00934EA8">
        <w:t>s</w:t>
      </w:r>
      <w:r w:rsidR="006C0B64">
        <w:t xml:space="preserve"> of </w:t>
      </w:r>
      <w:r w:rsidR="006C7F9B">
        <w:t>consistency</w:t>
      </w:r>
      <w:r w:rsidR="006C0B64">
        <w:t xml:space="preserve">, </w:t>
      </w:r>
      <w:r w:rsidR="006C7F9B">
        <w:t>this Report use</w:t>
      </w:r>
      <w:r w:rsidR="004F785B">
        <w:t>s</w:t>
      </w:r>
      <w:r w:rsidR="006C7F9B">
        <w:t xml:space="preserve"> the broad term ‘company’ to </w:t>
      </w:r>
      <w:r w:rsidR="006C7F9B">
        <w:lastRenderedPageBreak/>
        <w:t>encompass the variety of</w:t>
      </w:r>
      <w:r w:rsidR="00934EA8">
        <w:t xml:space="preserve"> legal</w:t>
      </w:r>
      <w:r w:rsidR="006C7F9B">
        <w:t xml:space="preserve"> business types</w:t>
      </w:r>
      <w:r w:rsidR="006C7F9B" w:rsidRPr="002604A2">
        <w:t xml:space="preserve"> </w:t>
      </w:r>
      <w:r w:rsidR="006C7F9B">
        <w:t xml:space="preserve">that </w:t>
      </w:r>
      <w:r w:rsidR="006C7F9B">
        <w:rPr>
          <w:bCs w:val="0"/>
        </w:rPr>
        <w:t>investors</w:t>
      </w:r>
      <w:r w:rsidR="006C7F9B" w:rsidRPr="002604A2">
        <w:t xml:space="preserve"> may set up</w:t>
      </w:r>
      <w:r w:rsidR="006C7F9B">
        <w:t>.</w:t>
      </w:r>
    </w:p>
    <w:p w14:paraId="2638F4C4" w14:textId="77777777" w:rsidR="00395DEC" w:rsidRPr="006C6C4F" w:rsidRDefault="00395DEC" w:rsidP="009F3034">
      <w:pPr>
        <w:pStyle w:val="MBT"/>
      </w:pPr>
    </w:p>
    <w:p w14:paraId="53BACB09" w14:textId="3925E57D" w:rsidR="00DD2E0D" w:rsidRDefault="00FA33D1" w:rsidP="00503123">
      <w:pPr>
        <w:pStyle w:val="MMultilevel"/>
        <w:rPr>
          <w:rStyle w:val="FootnoteReference"/>
          <w:bCs w:val="0"/>
          <w:lang w:val="en-GB"/>
        </w:rPr>
      </w:pPr>
      <w:r w:rsidRPr="006C6C4F">
        <w:rPr>
          <w:bCs w:val="0"/>
          <w:lang w:val="en-GB"/>
        </w:rPr>
        <w:t xml:space="preserve">Before 1 November 2014, </w:t>
      </w:r>
      <w:r w:rsidR="005851E9" w:rsidRPr="006C6C4F">
        <w:rPr>
          <w:bCs w:val="0"/>
          <w:lang w:val="en-GB"/>
        </w:rPr>
        <w:t xml:space="preserve">the </w:t>
      </w:r>
      <w:r w:rsidR="005851E9" w:rsidRPr="006C6C4F">
        <w:rPr>
          <w:lang w:val="en-GB"/>
        </w:rPr>
        <w:t>LLSA</w:t>
      </w:r>
      <w:r w:rsidRPr="006C6C4F">
        <w:rPr>
          <w:bCs w:val="0"/>
          <w:lang w:val="en-GB"/>
        </w:rPr>
        <w:t xml:space="preserve"> </w:t>
      </w:r>
      <w:r w:rsidR="00437A84" w:rsidRPr="006C6C4F">
        <w:rPr>
          <w:bCs w:val="0"/>
          <w:lang w:val="en-GB"/>
        </w:rPr>
        <w:t>had</w:t>
      </w:r>
      <w:r w:rsidR="005851E9" w:rsidRPr="006C6C4F">
        <w:rPr>
          <w:bCs w:val="0"/>
          <w:lang w:val="en-GB"/>
        </w:rPr>
        <w:t xml:space="preserve"> quite </w:t>
      </w:r>
      <w:r w:rsidRPr="006C6C4F">
        <w:rPr>
          <w:bCs w:val="0"/>
          <w:lang w:val="en-GB"/>
        </w:rPr>
        <w:t xml:space="preserve">liberal </w:t>
      </w:r>
      <w:r w:rsidR="005851E9" w:rsidRPr="006C6C4F">
        <w:rPr>
          <w:bCs w:val="0"/>
          <w:lang w:val="en-GB"/>
        </w:rPr>
        <w:t>rules</w:t>
      </w:r>
      <w:r w:rsidRPr="006C6C4F">
        <w:rPr>
          <w:bCs w:val="0"/>
          <w:lang w:val="en-GB"/>
        </w:rPr>
        <w:t xml:space="preserve"> for foreign investors</w:t>
      </w:r>
      <w:r w:rsidR="005851E9" w:rsidRPr="006C6C4F">
        <w:rPr>
          <w:bCs w:val="0"/>
          <w:lang w:val="en-GB"/>
        </w:rPr>
        <w:t xml:space="preserve">: there was </w:t>
      </w:r>
      <w:r w:rsidRPr="006C6C4F">
        <w:rPr>
          <w:bCs w:val="0"/>
          <w:lang w:val="en-GB"/>
        </w:rPr>
        <w:t xml:space="preserve">no </w:t>
      </w:r>
      <w:r w:rsidR="00715418">
        <w:rPr>
          <w:bCs w:val="0"/>
          <w:lang w:val="en-GB"/>
        </w:rPr>
        <w:t>monitoring</w:t>
      </w:r>
      <w:r w:rsidRPr="006C6C4F">
        <w:rPr>
          <w:bCs w:val="0"/>
          <w:lang w:val="en-GB"/>
        </w:rPr>
        <w:t xml:space="preserve"> whether the </w:t>
      </w:r>
      <w:r w:rsidR="00237C4C">
        <w:rPr>
          <w:bCs w:val="0"/>
          <w:lang w:val="en-GB"/>
        </w:rPr>
        <w:t>company</w:t>
      </w:r>
      <w:r w:rsidR="00237C4C" w:rsidRPr="006C6C4F">
        <w:rPr>
          <w:bCs w:val="0"/>
          <w:lang w:val="en-GB"/>
        </w:rPr>
        <w:t xml:space="preserve"> </w:t>
      </w:r>
      <w:r w:rsidRPr="006C6C4F">
        <w:rPr>
          <w:bCs w:val="0"/>
          <w:lang w:val="en-GB"/>
        </w:rPr>
        <w:t xml:space="preserve">established was </w:t>
      </w:r>
      <w:r w:rsidR="005851E9" w:rsidRPr="006C6C4F">
        <w:rPr>
          <w:bCs w:val="0"/>
          <w:lang w:val="en-GB"/>
        </w:rPr>
        <w:t xml:space="preserve">being </w:t>
      </w:r>
      <w:r w:rsidRPr="006C6C4F">
        <w:rPr>
          <w:bCs w:val="0"/>
          <w:lang w:val="en-GB"/>
        </w:rPr>
        <w:t>genuine</w:t>
      </w:r>
      <w:r w:rsidR="005851E9" w:rsidRPr="006C6C4F">
        <w:rPr>
          <w:bCs w:val="0"/>
          <w:lang w:val="en-GB"/>
        </w:rPr>
        <w:t>ly created</w:t>
      </w:r>
      <w:r w:rsidR="00A12932" w:rsidRPr="006C6C4F">
        <w:rPr>
          <w:bCs w:val="0"/>
          <w:lang w:val="en-GB"/>
        </w:rPr>
        <w:t>.</w:t>
      </w:r>
      <w:r w:rsidR="00DD066A" w:rsidRPr="007F6C0B">
        <w:rPr>
          <w:rStyle w:val="FootnoteReference"/>
        </w:rPr>
        <w:footnoteReference w:id="9"/>
      </w:r>
      <w:r w:rsidRPr="006C6C4F">
        <w:rPr>
          <w:bCs w:val="0"/>
          <w:lang w:val="en-GB"/>
        </w:rPr>
        <w:t xml:space="preserve"> </w:t>
      </w:r>
      <w:r w:rsidR="009A1B1B" w:rsidRPr="006C6C4F">
        <w:rPr>
          <w:bCs w:val="0"/>
          <w:lang w:val="en-GB"/>
        </w:rPr>
        <w:t>Hence the</w:t>
      </w:r>
      <w:r w:rsidR="009A1B1B" w:rsidRPr="006C6C4F">
        <w:rPr>
          <w:lang w:val="en-GB"/>
        </w:rPr>
        <w:t xml:space="preserve"> number of Lithuanian residence permits issued to immigrant investors increased from 1,400 in 2009</w:t>
      </w:r>
      <w:r w:rsidR="009A1B1B" w:rsidRPr="007F6C0B">
        <w:rPr>
          <w:rStyle w:val="FootnoteReference"/>
        </w:rPr>
        <w:footnoteReference w:id="10"/>
      </w:r>
      <w:r w:rsidR="009A1B1B" w:rsidRPr="006C6C4F">
        <w:rPr>
          <w:lang w:val="en-GB"/>
        </w:rPr>
        <w:t xml:space="preserve"> to 6</w:t>
      </w:r>
      <w:r w:rsidR="009A1B1B" w:rsidRPr="006C6C4F">
        <w:rPr>
          <w:bCs w:val="0"/>
          <w:lang w:val="en-GB"/>
        </w:rPr>
        <w:t>,</w:t>
      </w:r>
      <w:r w:rsidR="009A1B1B" w:rsidRPr="006C6C4F">
        <w:rPr>
          <w:lang w:val="en-GB"/>
        </w:rPr>
        <w:t>600</w:t>
      </w:r>
      <w:r w:rsidR="009A1B1B" w:rsidRPr="006C6C4F">
        <w:rPr>
          <w:bCs w:val="0"/>
          <w:lang w:val="en-GB"/>
        </w:rPr>
        <w:t xml:space="preserve"> in 2014,</w:t>
      </w:r>
      <w:r w:rsidR="009A1B1B" w:rsidRPr="007F6C0B">
        <w:rPr>
          <w:rStyle w:val="FootnoteReference"/>
        </w:rPr>
        <w:footnoteReference w:id="11"/>
      </w:r>
      <w:r w:rsidR="009A1B1B" w:rsidRPr="006C6C4F">
        <w:rPr>
          <w:bCs w:val="0"/>
          <w:lang w:val="en-GB"/>
        </w:rPr>
        <w:t xml:space="preserve"> with refusal rates remaining low.</w:t>
      </w:r>
      <w:r w:rsidRPr="006C6C4F">
        <w:rPr>
          <w:bCs w:val="0"/>
          <w:lang w:val="en-GB"/>
        </w:rPr>
        <w:t xml:space="preserve"> </w:t>
      </w:r>
      <w:r w:rsidR="00104B7C" w:rsidRPr="00AE78BA">
        <w:t>The increase in figures for the TRP applications on the basis of lawful activities, especially from 4,523 in 2013 to 7,696 in 2014, occurred because more and more applicants were applying for a TRP using fictitious companies.</w:t>
      </w:r>
      <w:r w:rsidR="00104B7C" w:rsidRPr="007F6C0B">
        <w:rPr>
          <w:rStyle w:val="FootnoteReference"/>
        </w:rPr>
        <w:footnoteReference w:id="12"/>
      </w:r>
    </w:p>
    <w:p w14:paraId="7E8FA02A" w14:textId="77777777" w:rsidR="00503123" w:rsidRPr="00503123" w:rsidRDefault="00503123" w:rsidP="00503123">
      <w:pPr>
        <w:pStyle w:val="MMultilevel"/>
        <w:rPr>
          <w:bCs w:val="0"/>
          <w:lang w:val="en-GB"/>
        </w:rPr>
      </w:pPr>
    </w:p>
    <w:p w14:paraId="2963EFEF" w14:textId="77777777" w:rsidR="00395DEC" w:rsidRDefault="00FA33D1" w:rsidP="00D75B43">
      <w:pPr>
        <w:autoSpaceDE w:val="0"/>
        <w:autoSpaceDN w:val="0"/>
        <w:adjustRightInd w:val="0"/>
        <w:jc w:val="both"/>
        <w:rPr>
          <w:bCs/>
          <w:sz w:val="22"/>
          <w:szCs w:val="22"/>
        </w:rPr>
      </w:pPr>
      <w:r w:rsidRPr="006C6C4F">
        <w:rPr>
          <w:bCs/>
          <w:sz w:val="22"/>
          <w:szCs w:val="22"/>
        </w:rPr>
        <w:t>For this reason, the Ministry of the Interior proposed changes to the legal framework to stop such abuse</w:t>
      </w:r>
      <w:r w:rsidR="007607C0" w:rsidRPr="006C6C4F">
        <w:rPr>
          <w:bCs/>
          <w:sz w:val="22"/>
          <w:szCs w:val="22"/>
        </w:rPr>
        <w:t xml:space="preserve">s </w:t>
      </w:r>
      <w:r w:rsidR="00401450" w:rsidRPr="006C6C4F">
        <w:rPr>
          <w:bCs/>
          <w:sz w:val="22"/>
          <w:szCs w:val="22"/>
        </w:rPr>
        <w:t xml:space="preserve">that occurred via fictitious companies </w:t>
      </w:r>
      <w:r w:rsidR="007607C0" w:rsidRPr="006C6C4F">
        <w:rPr>
          <w:bCs/>
          <w:sz w:val="22"/>
          <w:szCs w:val="22"/>
        </w:rPr>
        <w:t>and to encourage genuine business investors</w:t>
      </w:r>
      <w:r w:rsidRPr="006C6C4F">
        <w:rPr>
          <w:bCs/>
          <w:sz w:val="22"/>
          <w:szCs w:val="22"/>
        </w:rPr>
        <w:t>.</w:t>
      </w:r>
      <w:r w:rsidRPr="00644060">
        <w:rPr>
          <w:rStyle w:val="FootnoteReference"/>
        </w:rPr>
        <w:footnoteReference w:id="13"/>
      </w:r>
      <w:r w:rsidR="00437A84" w:rsidRPr="006C6C4F">
        <w:rPr>
          <w:bCs/>
          <w:sz w:val="22"/>
          <w:szCs w:val="22"/>
        </w:rPr>
        <w:t xml:space="preserve"> </w:t>
      </w:r>
      <w:r w:rsidR="00715418" w:rsidRPr="00DD2E0D">
        <w:rPr>
          <w:bCs/>
          <w:sz w:val="22"/>
          <w:szCs w:val="22"/>
        </w:rPr>
        <w:t xml:space="preserve">The </w:t>
      </w:r>
      <w:r w:rsidR="00715418" w:rsidRPr="00AE78BA">
        <w:rPr>
          <w:sz w:val="22"/>
          <w:szCs w:val="22"/>
        </w:rPr>
        <w:t xml:space="preserve">Law Amending the Law on the Legal Status of Aliens came into force in </w:t>
      </w:r>
      <w:r w:rsidR="00715418" w:rsidRPr="00DD2E0D">
        <w:rPr>
          <w:bCs/>
          <w:sz w:val="22"/>
          <w:szCs w:val="22"/>
        </w:rPr>
        <w:t xml:space="preserve">November 2014. </w:t>
      </w:r>
      <w:r w:rsidR="00715418">
        <w:rPr>
          <w:bCs/>
          <w:sz w:val="22"/>
          <w:szCs w:val="22"/>
        </w:rPr>
        <w:t>It included requirements</w:t>
      </w:r>
      <w:r w:rsidR="00D87D8F" w:rsidRPr="006C6C4F">
        <w:rPr>
          <w:bCs/>
          <w:sz w:val="22"/>
          <w:szCs w:val="22"/>
        </w:rPr>
        <w:t xml:space="preserve"> </w:t>
      </w:r>
      <w:r w:rsidR="00974671" w:rsidRPr="006C6C4F">
        <w:rPr>
          <w:bCs/>
          <w:sz w:val="22"/>
          <w:szCs w:val="22"/>
        </w:rPr>
        <w:t xml:space="preserve">that the company in which a foreign investor invests </w:t>
      </w:r>
      <w:r w:rsidR="003B11DE" w:rsidRPr="006C6C4F">
        <w:rPr>
          <w:bCs/>
          <w:sz w:val="22"/>
          <w:szCs w:val="22"/>
        </w:rPr>
        <w:t>should</w:t>
      </w:r>
      <w:r w:rsidR="00974671" w:rsidRPr="006C6C4F">
        <w:rPr>
          <w:bCs/>
          <w:sz w:val="22"/>
          <w:szCs w:val="22"/>
        </w:rPr>
        <w:t xml:space="preserve"> have</w:t>
      </w:r>
      <w:r w:rsidR="00715418">
        <w:rPr>
          <w:bCs/>
          <w:sz w:val="22"/>
          <w:szCs w:val="22"/>
        </w:rPr>
        <w:t xml:space="preserve"> a</w:t>
      </w:r>
      <w:r w:rsidR="00974671" w:rsidRPr="006C6C4F">
        <w:rPr>
          <w:bCs/>
          <w:sz w:val="22"/>
          <w:szCs w:val="22"/>
        </w:rPr>
        <w:t xml:space="preserve"> </w:t>
      </w:r>
      <w:r w:rsidR="008C1FBA" w:rsidRPr="006C6C4F">
        <w:rPr>
          <w:bCs/>
          <w:sz w:val="22"/>
          <w:szCs w:val="22"/>
        </w:rPr>
        <w:t>minimum</w:t>
      </w:r>
      <w:r w:rsidR="00715418">
        <w:rPr>
          <w:bCs/>
          <w:sz w:val="22"/>
          <w:szCs w:val="22"/>
        </w:rPr>
        <w:t xml:space="preserve"> of</w:t>
      </w:r>
      <w:r w:rsidR="008C1FBA" w:rsidRPr="006C6C4F">
        <w:rPr>
          <w:bCs/>
          <w:sz w:val="22"/>
          <w:szCs w:val="22"/>
        </w:rPr>
        <w:t xml:space="preserve"> </w:t>
      </w:r>
      <w:r w:rsidR="00974671" w:rsidRPr="006C6C4F">
        <w:rPr>
          <w:bCs/>
          <w:sz w:val="22"/>
          <w:szCs w:val="22"/>
        </w:rPr>
        <w:t>three full-time employees</w:t>
      </w:r>
      <w:r w:rsidR="0017138A" w:rsidRPr="006C6C4F">
        <w:rPr>
          <w:bCs/>
          <w:sz w:val="22"/>
          <w:szCs w:val="22"/>
        </w:rPr>
        <w:t xml:space="preserve"> and that</w:t>
      </w:r>
      <w:r w:rsidR="00974671" w:rsidRPr="006C6C4F">
        <w:rPr>
          <w:bCs/>
          <w:sz w:val="22"/>
          <w:szCs w:val="22"/>
        </w:rPr>
        <w:t xml:space="preserve"> the foreigner should invest at least </w:t>
      </w:r>
      <w:r w:rsidR="008C1FBA" w:rsidRPr="006C6C4F">
        <w:rPr>
          <w:bCs/>
          <w:sz w:val="22"/>
          <w:szCs w:val="22"/>
        </w:rPr>
        <w:t>50,</w:t>
      </w:r>
      <w:r w:rsidR="00974671" w:rsidRPr="006C6C4F">
        <w:rPr>
          <w:bCs/>
          <w:sz w:val="22"/>
          <w:szCs w:val="22"/>
        </w:rPr>
        <w:t>000 Litas</w:t>
      </w:r>
      <w:r w:rsidR="000E57C3" w:rsidRPr="006C6C4F">
        <w:rPr>
          <w:bCs/>
          <w:sz w:val="22"/>
          <w:szCs w:val="22"/>
        </w:rPr>
        <w:t xml:space="preserve"> (approx. </w:t>
      </w:r>
      <w:r w:rsidR="00715418">
        <w:rPr>
          <w:bCs/>
          <w:sz w:val="22"/>
          <w:szCs w:val="22"/>
        </w:rPr>
        <w:t xml:space="preserve">EUR </w:t>
      </w:r>
      <w:r w:rsidR="00D13111" w:rsidRPr="006C6C4F">
        <w:rPr>
          <w:bCs/>
          <w:sz w:val="22"/>
          <w:szCs w:val="22"/>
        </w:rPr>
        <w:t>14 481</w:t>
      </w:r>
      <w:r w:rsidR="00633F08" w:rsidRPr="006C6C4F">
        <w:rPr>
          <w:bCs/>
          <w:sz w:val="22"/>
          <w:szCs w:val="22"/>
        </w:rPr>
        <w:t>)</w:t>
      </w:r>
      <w:r w:rsidR="00D87D8F" w:rsidRPr="00644060">
        <w:rPr>
          <w:rStyle w:val="FootnoteReference"/>
        </w:rPr>
        <w:footnoteReference w:id="14"/>
      </w:r>
      <w:r w:rsidR="0017138A" w:rsidRPr="006C6C4F">
        <w:rPr>
          <w:bCs/>
          <w:sz w:val="22"/>
          <w:szCs w:val="22"/>
        </w:rPr>
        <w:t xml:space="preserve"> of own capital</w:t>
      </w:r>
      <w:r w:rsidR="00974671" w:rsidRPr="006C6C4F">
        <w:rPr>
          <w:bCs/>
          <w:sz w:val="22"/>
          <w:szCs w:val="22"/>
        </w:rPr>
        <w:t xml:space="preserve">, with the minimum company capital being at </w:t>
      </w:r>
      <w:r w:rsidR="008C1FBA" w:rsidRPr="006C6C4F">
        <w:rPr>
          <w:bCs/>
          <w:sz w:val="22"/>
          <w:szCs w:val="22"/>
        </w:rPr>
        <w:t>100,</w:t>
      </w:r>
      <w:r w:rsidR="000E57C3" w:rsidRPr="006C6C4F">
        <w:rPr>
          <w:bCs/>
          <w:sz w:val="22"/>
          <w:szCs w:val="22"/>
        </w:rPr>
        <w:t>000 Litas</w:t>
      </w:r>
      <w:r w:rsidR="00633F08" w:rsidRPr="006C6C4F">
        <w:rPr>
          <w:bCs/>
          <w:sz w:val="22"/>
          <w:szCs w:val="22"/>
        </w:rPr>
        <w:t xml:space="preserve"> (approx.</w:t>
      </w:r>
      <w:r w:rsidR="00715418">
        <w:rPr>
          <w:bCs/>
          <w:sz w:val="22"/>
          <w:szCs w:val="22"/>
        </w:rPr>
        <w:t xml:space="preserve"> EUR</w:t>
      </w:r>
      <w:r w:rsidR="00633F08" w:rsidRPr="006C6C4F">
        <w:rPr>
          <w:bCs/>
          <w:sz w:val="22"/>
          <w:szCs w:val="22"/>
        </w:rPr>
        <w:t xml:space="preserve"> </w:t>
      </w:r>
      <w:r w:rsidR="005A5B7F" w:rsidRPr="006C6C4F">
        <w:rPr>
          <w:bCs/>
          <w:sz w:val="22"/>
          <w:szCs w:val="22"/>
        </w:rPr>
        <w:t>28 9</w:t>
      </w:r>
      <w:r w:rsidR="003B11DE" w:rsidRPr="006C6C4F">
        <w:rPr>
          <w:bCs/>
          <w:sz w:val="22"/>
          <w:szCs w:val="22"/>
        </w:rPr>
        <w:t>62</w:t>
      </w:r>
      <w:r w:rsidR="00633F08" w:rsidRPr="006C6C4F">
        <w:rPr>
          <w:bCs/>
          <w:sz w:val="22"/>
          <w:szCs w:val="22"/>
        </w:rPr>
        <w:t xml:space="preserve"> euro)</w:t>
      </w:r>
      <w:r w:rsidR="000E57C3" w:rsidRPr="006C6C4F">
        <w:rPr>
          <w:bCs/>
          <w:sz w:val="22"/>
          <w:szCs w:val="22"/>
        </w:rPr>
        <w:t>.</w:t>
      </w:r>
      <w:r w:rsidR="003B11DE" w:rsidRPr="00551540">
        <w:rPr>
          <w:rStyle w:val="FootnoteReference"/>
        </w:rPr>
        <w:footnoteReference w:id="15"/>
      </w:r>
      <w:r w:rsidR="0017138A" w:rsidRPr="006C6C4F">
        <w:rPr>
          <w:bCs/>
          <w:sz w:val="22"/>
          <w:szCs w:val="22"/>
        </w:rPr>
        <w:t xml:space="preserve"> </w:t>
      </w:r>
    </w:p>
    <w:p w14:paraId="0F8DD9B0" w14:textId="77777777" w:rsidR="00395DEC" w:rsidRDefault="00395DEC" w:rsidP="00D75B43">
      <w:pPr>
        <w:autoSpaceDE w:val="0"/>
        <w:autoSpaceDN w:val="0"/>
        <w:adjustRightInd w:val="0"/>
        <w:jc w:val="both"/>
        <w:rPr>
          <w:bCs/>
          <w:sz w:val="22"/>
          <w:szCs w:val="22"/>
        </w:rPr>
      </w:pPr>
    </w:p>
    <w:p w14:paraId="39D19EAC" w14:textId="61850ED7" w:rsidR="004D7E6E" w:rsidRPr="006C6C4F" w:rsidRDefault="004D7E6E" w:rsidP="00D75B43">
      <w:pPr>
        <w:autoSpaceDE w:val="0"/>
        <w:autoSpaceDN w:val="0"/>
        <w:adjustRightInd w:val="0"/>
        <w:jc w:val="both"/>
        <w:rPr>
          <w:bCs/>
          <w:sz w:val="22"/>
          <w:szCs w:val="22"/>
        </w:rPr>
      </w:pPr>
      <w:r w:rsidRPr="006C6C4F">
        <w:rPr>
          <w:bCs/>
          <w:sz w:val="22"/>
          <w:szCs w:val="22"/>
        </w:rPr>
        <w:t xml:space="preserve">These legal </w:t>
      </w:r>
      <w:r w:rsidR="00715418">
        <w:rPr>
          <w:bCs/>
          <w:sz w:val="22"/>
          <w:szCs w:val="22"/>
        </w:rPr>
        <w:t>amendments</w:t>
      </w:r>
      <w:r w:rsidR="0017138A" w:rsidRPr="006C6C4F">
        <w:rPr>
          <w:bCs/>
          <w:sz w:val="22"/>
          <w:szCs w:val="22"/>
        </w:rPr>
        <w:t>,</w:t>
      </w:r>
      <w:r w:rsidRPr="006C6C4F">
        <w:rPr>
          <w:bCs/>
          <w:sz w:val="22"/>
          <w:szCs w:val="22"/>
        </w:rPr>
        <w:t xml:space="preserve"> </w:t>
      </w:r>
      <w:r w:rsidR="0017138A" w:rsidRPr="006C6C4F">
        <w:rPr>
          <w:bCs/>
          <w:sz w:val="22"/>
          <w:szCs w:val="22"/>
        </w:rPr>
        <w:t xml:space="preserve">especially the minimum employees condition, </w:t>
      </w:r>
      <w:r w:rsidR="008C1FBA" w:rsidRPr="006C6C4F">
        <w:rPr>
          <w:bCs/>
          <w:sz w:val="22"/>
          <w:szCs w:val="22"/>
        </w:rPr>
        <w:t>inspired by the legal provisions of some other EU Member States,</w:t>
      </w:r>
      <w:r w:rsidR="008C1FBA" w:rsidRPr="00551540">
        <w:rPr>
          <w:rStyle w:val="FootnoteReference"/>
        </w:rPr>
        <w:footnoteReference w:id="16"/>
      </w:r>
      <w:r w:rsidR="008C1FBA" w:rsidRPr="006C6C4F">
        <w:rPr>
          <w:bCs/>
          <w:sz w:val="22"/>
          <w:szCs w:val="22"/>
        </w:rPr>
        <w:t xml:space="preserve"> </w:t>
      </w:r>
      <w:r w:rsidRPr="006C6C4F">
        <w:rPr>
          <w:bCs/>
          <w:sz w:val="22"/>
          <w:szCs w:val="22"/>
        </w:rPr>
        <w:t xml:space="preserve">were </w:t>
      </w:r>
      <w:r w:rsidR="00715418">
        <w:rPr>
          <w:bCs/>
          <w:sz w:val="22"/>
          <w:szCs w:val="22"/>
        </w:rPr>
        <w:t>considered</w:t>
      </w:r>
      <w:r w:rsidR="00715418" w:rsidRPr="006C6C4F">
        <w:rPr>
          <w:bCs/>
          <w:sz w:val="22"/>
          <w:szCs w:val="22"/>
        </w:rPr>
        <w:t xml:space="preserve"> </w:t>
      </w:r>
      <w:r w:rsidR="004B3F5A">
        <w:rPr>
          <w:bCs/>
          <w:sz w:val="22"/>
          <w:szCs w:val="22"/>
        </w:rPr>
        <w:t xml:space="preserve">by start-ups and small IT companies </w:t>
      </w:r>
      <w:r w:rsidRPr="006C6C4F">
        <w:rPr>
          <w:bCs/>
          <w:sz w:val="22"/>
          <w:szCs w:val="22"/>
        </w:rPr>
        <w:t>quite strict and disadvantageous for small foreign investors</w:t>
      </w:r>
      <w:r w:rsidR="0017138A" w:rsidRPr="006C6C4F">
        <w:rPr>
          <w:bCs/>
          <w:sz w:val="22"/>
          <w:szCs w:val="22"/>
        </w:rPr>
        <w:t xml:space="preserve">, </w:t>
      </w:r>
      <w:r w:rsidR="005444E0" w:rsidRPr="006C6C4F">
        <w:rPr>
          <w:bCs/>
          <w:sz w:val="22"/>
          <w:szCs w:val="22"/>
        </w:rPr>
        <w:t>potentially</w:t>
      </w:r>
      <w:r w:rsidRPr="006C6C4F">
        <w:rPr>
          <w:bCs/>
          <w:sz w:val="22"/>
          <w:szCs w:val="22"/>
        </w:rPr>
        <w:t xml:space="preserve"> forc</w:t>
      </w:r>
      <w:r w:rsidR="005444E0" w:rsidRPr="006C6C4F">
        <w:rPr>
          <w:bCs/>
          <w:sz w:val="22"/>
          <w:szCs w:val="22"/>
        </w:rPr>
        <w:t>ing</w:t>
      </w:r>
      <w:r w:rsidRPr="006C6C4F">
        <w:rPr>
          <w:bCs/>
          <w:sz w:val="22"/>
          <w:szCs w:val="22"/>
        </w:rPr>
        <w:t xml:space="preserve"> them to seek other means </w:t>
      </w:r>
      <w:r w:rsidR="005444E0" w:rsidRPr="006C6C4F">
        <w:rPr>
          <w:bCs/>
          <w:sz w:val="22"/>
          <w:szCs w:val="22"/>
        </w:rPr>
        <w:t xml:space="preserve">(i.e. legal loopholes) </w:t>
      </w:r>
      <w:r w:rsidR="00D87D8F" w:rsidRPr="006C6C4F">
        <w:rPr>
          <w:bCs/>
          <w:sz w:val="22"/>
          <w:szCs w:val="22"/>
        </w:rPr>
        <w:t>to</w:t>
      </w:r>
      <w:r w:rsidRPr="006C6C4F">
        <w:rPr>
          <w:bCs/>
          <w:sz w:val="22"/>
          <w:szCs w:val="22"/>
        </w:rPr>
        <w:t xml:space="preserve"> obtain</w:t>
      </w:r>
      <w:r w:rsidR="00D87D8F" w:rsidRPr="006C6C4F">
        <w:rPr>
          <w:bCs/>
          <w:sz w:val="22"/>
          <w:szCs w:val="22"/>
        </w:rPr>
        <w:t xml:space="preserve"> temporary</w:t>
      </w:r>
      <w:r w:rsidRPr="006C6C4F">
        <w:rPr>
          <w:bCs/>
          <w:sz w:val="22"/>
          <w:szCs w:val="22"/>
        </w:rPr>
        <w:t xml:space="preserve"> residence.</w:t>
      </w:r>
      <w:r w:rsidRPr="00551540">
        <w:rPr>
          <w:rStyle w:val="FootnoteReference"/>
        </w:rPr>
        <w:footnoteReference w:id="17"/>
      </w:r>
      <w:r w:rsidR="00D75B43">
        <w:rPr>
          <w:bCs/>
          <w:sz w:val="22"/>
          <w:szCs w:val="22"/>
        </w:rPr>
        <w:t xml:space="preserve"> For example, when a rule was introduced that a foreigner </w:t>
      </w:r>
      <w:r w:rsidR="00DD56E1">
        <w:rPr>
          <w:bCs/>
          <w:sz w:val="22"/>
          <w:szCs w:val="22"/>
        </w:rPr>
        <w:t>could not</w:t>
      </w:r>
      <w:r w:rsidR="00D75B43">
        <w:rPr>
          <w:bCs/>
          <w:sz w:val="22"/>
          <w:szCs w:val="22"/>
        </w:rPr>
        <w:t xml:space="preserve"> obtain an EU </w:t>
      </w:r>
      <w:r w:rsidR="00B86B7A">
        <w:rPr>
          <w:bCs/>
          <w:sz w:val="22"/>
          <w:szCs w:val="22"/>
        </w:rPr>
        <w:t>B</w:t>
      </w:r>
      <w:r w:rsidR="00D75B43">
        <w:rPr>
          <w:bCs/>
          <w:sz w:val="22"/>
          <w:szCs w:val="22"/>
        </w:rPr>
        <w:t xml:space="preserve">lue </w:t>
      </w:r>
      <w:r w:rsidR="00B86B7A">
        <w:rPr>
          <w:bCs/>
          <w:sz w:val="22"/>
          <w:szCs w:val="22"/>
        </w:rPr>
        <w:t>C</w:t>
      </w:r>
      <w:r w:rsidR="00D75B43">
        <w:rPr>
          <w:bCs/>
          <w:sz w:val="22"/>
          <w:szCs w:val="22"/>
        </w:rPr>
        <w:t xml:space="preserve">ard if they </w:t>
      </w:r>
      <w:r w:rsidR="00DD56E1">
        <w:rPr>
          <w:bCs/>
          <w:sz w:val="22"/>
          <w:szCs w:val="22"/>
        </w:rPr>
        <w:t>were</w:t>
      </w:r>
      <w:r w:rsidR="00D75B43">
        <w:rPr>
          <w:bCs/>
          <w:sz w:val="22"/>
          <w:szCs w:val="22"/>
        </w:rPr>
        <w:t xml:space="preserve"> the </w:t>
      </w:r>
      <w:r w:rsidR="00FC1D45">
        <w:rPr>
          <w:bCs/>
          <w:sz w:val="22"/>
          <w:szCs w:val="22"/>
        </w:rPr>
        <w:t>manager of the enterprise</w:t>
      </w:r>
      <w:r w:rsidR="00FC1D45" w:rsidRPr="00FC1D45">
        <w:rPr>
          <w:bCs/>
          <w:sz w:val="22"/>
          <w:szCs w:val="22"/>
        </w:rPr>
        <w:t xml:space="preserve"> </w:t>
      </w:r>
      <w:r w:rsidR="00B86B7A">
        <w:rPr>
          <w:bCs/>
          <w:sz w:val="22"/>
          <w:szCs w:val="22"/>
        </w:rPr>
        <w:t xml:space="preserve">they established, such a person could ‘sell’ their </w:t>
      </w:r>
      <w:r w:rsidR="00011825">
        <w:rPr>
          <w:bCs/>
          <w:sz w:val="22"/>
          <w:szCs w:val="22"/>
        </w:rPr>
        <w:t>company</w:t>
      </w:r>
      <w:r w:rsidR="00B86B7A">
        <w:rPr>
          <w:bCs/>
          <w:sz w:val="22"/>
          <w:szCs w:val="22"/>
        </w:rPr>
        <w:t xml:space="preserve"> to the spouse, then could be recruited </w:t>
      </w:r>
      <w:r w:rsidR="00DD56E1">
        <w:rPr>
          <w:bCs/>
          <w:sz w:val="22"/>
          <w:szCs w:val="22"/>
        </w:rPr>
        <w:t xml:space="preserve">directly </w:t>
      </w:r>
      <w:r w:rsidR="00B86B7A">
        <w:rPr>
          <w:bCs/>
          <w:sz w:val="22"/>
          <w:szCs w:val="22"/>
        </w:rPr>
        <w:t xml:space="preserve">by the </w:t>
      </w:r>
      <w:r w:rsidR="00011825">
        <w:rPr>
          <w:bCs/>
          <w:sz w:val="22"/>
          <w:szCs w:val="22"/>
        </w:rPr>
        <w:t>company</w:t>
      </w:r>
      <w:r w:rsidR="00B86B7A">
        <w:rPr>
          <w:bCs/>
          <w:sz w:val="22"/>
          <w:szCs w:val="22"/>
        </w:rPr>
        <w:t xml:space="preserve">, in order to obtain the Blue Card; and on the basis of the Blue Card </w:t>
      </w:r>
      <w:r w:rsidR="00DD56E1">
        <w:rPr>
          <w:bCs/>
          <w:sz w:val="22"/>
          <w:szCs w:val="22"/>
        </w:rPr>
        <w:t xml:space="preserve">their spouse could </w:t>
      </w:r>
      <w:r w:rsidR="00B86B7A">
        <w:rPr>
          <w:bCs/>
          <w:sz w:val="22"/>
          <w:szCs w:val="22"/>
        </w:rPr>
        <w:t>obtain a residence permit.</w:t>
      </w:r>
      <w:r w:rsidR="00763898" w:rsidRPr="00551540">
        <w:rPr>
          <w:rStyle w:val="FootnoteReference"/>
        </w:rPr>
        <w:footnoteReference w:id="18"/>
      </w:r>
    </w:p>
    <w:p w14:paraId="39C0FD42" w14:textId="77777777" w:rsidR="00D51539" w:rsidRPr="006C6C4F" w:rsidRDefault="00D51539" w:rsidP="00AE78BA">
      <w:pPr>
        <w:autoSpaceDE w:val="0"/>
        <w:autoSpaceDN w:val="0"/>
        <w:adjustRightInd w:val="0"/>
        <w:jc w:val="both"/>
        <w:rPr>
          <w:bCs/>
          <w:sz w:val="22"/>
          <w:szCs w:val="22"/>
        </w:rPr>
      </w:pPr>
    </w:p>
    <w:p w14:paraId="0FF243B0" w14:textId="0FCA9E50" w:rsidR="00B9576F" w:rsidRDefault="00D87D8F" w:rsidP="00AE78BA">
      <w:pPr>
        <w:autoSpaceDE w:val="0"/>
        <w:autoSpaceDN w:val="0"/>
        <w:adjustRightInd w:val="0"/>
        <w:jc w:val="both"/>
        <w:rPr>
          <w:bCs/>
          <w:sz w:val="22"/>
          <w:szCs w:val="22"/>
        </w:rPr>
      </w:pPr>
      <w:r w:rsidRPr="006C6C4F">
        <w:rPr>
          <w:bCs/>
          <w:sz w:val="22"/>
          <w:szCs w:val="22"/>
        </w:rPr>
        <w:t>F</w:t>
      </w:r>
      <w:r w:rsidR="0029316E" w:rsidRPr="006C6C4F">
        <w:rPr>
          <w:bCs/>
          <w:sz w:val="22"/>
          <w:szCs w:val="22"/>
        </w:rPr>
        <w:t>rom</w:t>
      </w:r>
      <w:r w:rsidR="00D51539" w:rsidRPr="006C6C4F">
        <w:rPr>
          <w:bCs/>
          <w:sz w:val="22"/>
          <w:szCs w:val="22"/>
        </w:rPr>
        <w:t xml:space="preserve"> </w:t>
      </w:r>
      <w:r w:rsidR="0029316E" w:rsidRPr="006C6C4F">
        <w:rPr>
          <w:bCs/>
          <w:sz w:val="22"/>
          <w:szCs w:val="22"/>
        </w:rPr>
        <w:t xml:space="preserve">January 2017, </w:t>
      </w:r>
      <w:r w:rsidR="00D51539" w:rsidRPr="006C6C4F">
        <w:rPr>
          <w:bCs/>
          <w:sz w:val="22"/>
          <w:szCs w:val="22"/>
        </w:rPr>
        <w:t xml:space="preserve">these requirements were </w:t>
      </w:r>
      <w:r w:rsidR="00335218" w:rsidRPr="006C6C4F">
        <w:rPr>
          <w:bCs/>
          <w:sz w:val="22"/>
          <w:szCs w:val="22"/>
        </w:rPr>
        <w:t xml:space="preserve">slightly </w:t>
      </w:r>
      <w:r w:rsidR="00D51539" w:rsidRPr="006C6C4F">
        <w:rPr>
          <w:bCs/>
          <w:sz w:val="22"/>
          <w:szCs w:val="22"/>
        </w:rPr>
        <w:t>softened</w:t>
      </w:r>
      <w:r w:rsidR="00F827CB">
        <w:rPr>
          <w:bCs/>
          <w:sz w:val="22"/>
          <w:szCs w:val="22"/>
        </w:rPr>
        <w:t xml:space="preserve"> </w:t>
      </w:r>
      <w:r w:rsidR="00F827CB" w:rsidRPr="00551540">
        <w:rPr>
          <w:sz w:val="22"/>
          <w:szCs w:val="22"/>
        </w:rPr>
        <w:t>through amendments to the LLSA</w:t>
      </w:r>
      <w:r w:rsidR="00D729CA">
        <w:rPr>
          <w:sz w:val="22"/>
          <w:szCs w:val="22"/>
        </w:rPr>
        <w:t>.</w:t>
      </w:r>
      <w:r w:rsidR="004A59EA" w:rsidRPr="00551540">
        <w:rPr>
          <w:rStyle w:val="FootnoteReference"/>
        </w:rPr>
        <w:footnoteReference w:id="19"/>
      </w:r>
      <w:r w:rsidR="00D51539" w:rsidRPr="006C6C4F">
        <w:rPr>
          <w:bCs/>
          <w:sz w:val="22"/>
          <w:szCs w:val="22"/>
        </w:rPr>
        <w:t xml:space="preserve"> </w:t>
      </w:r>
      <w:r w:rsidR="00D729CA">
        <w:rPr>
          <w:bCs/>
          <w:sz w:val="22"/>
          <w:szCs w:val="22"/>
        </w:rPr>
        <w:t>I</w:t>
      </w:r>
      <w:r w:rsidR="00204ECD">
        <w:rPr>
          <w:bCs/>
          <w:sz w:val="22"/>
          <w:szCs w:val="22"/>
        </w:rPr>
        <w:t>n addition</w:t>
      </w:r>
      <w:r w:rsidR="00D729CA">
        <w:rPr>
          <w:bCs/>
          <w:sz w:val="22"/>
          <w:szCs w:val="22"/>
        </w:rPr>
        <w:t>,</w:t>
      </w:r>
      <w:r w:rsidR="00D51539" w:rsidRPr="006C6C4F">
        <w:rPr>
          <w:bCs/>
          <w:sz w:val="22"/>
          <w:szCs w:val="22"/>
        </w:rPr>
        <w:t xml:space="preserve"> </w:t>
      </w:r>
      <w:r w:rsidR="008C1FBA" w:rsidRPr="006C6C4F">
        <w:rPr>
          <w:bCs/>
          <w:sz w:val="22"/>
          <w:szCs w:val="22"/>
        </w:rPr>
        <w:t xml:space="preserve">a </w:t>
      </w:r>
      <w:r w:rsidR="00DE329C" w:rsidRPr="006C6C4F">
        <w:rPr>
          <w:bCs/>
          <w:sz w:val="22"/>
          <w:szCs w:val="22"/>
        </w:rPr>
        <w:t>second</w:t>
      </w:r>
      <w:r w:rsidR="00D51539" w:rsidRPr="006C6C4F">
        <w:rPr>
          <w:bCs/>
          <w:sz w:val="22"/>
          <w:szCs w:val="22"/>
        </w:rPr>
        <w:t xml:space="preserve"> </w:t>
      </w:r>
      <w:r w:rsidR="004534E9">
        <w:rPr>
          <w:bCs/>
          <w:sz w:val="22"/>
          <w:szCs w:val="22"/>
        </w:rPr>
        <w:t>level</w:t>
      </w:r>
      <w:r w:rsidR="00394625">
        <w:rPr>
          <w:bCs/>
          <w:sz w:val="22"/>
          <w:szCs w:val="22"/>
        </w:rPr>
        <w:t xml:space="preserve"> </w:t>
      </w:r>
      <w:r w:rsidR="004534E9">
        <w:rPr>
          <w:bCs/>
          <w:sz w:val="22"/>
          <w:szCs w:val="22"/>
        </w:rPr>
        <w:t>of investment</w:t>
      </w:r>
      <w:r w:rsidR="008C1FBA" w:rsidRPr="006C6C4F">
        <w:rPr>
          <w:bCs/>
          <w:sz w:val="22"/>
          <w:szCs w:val="22"/>
        </w:rPr>
        <w:t xml:space="preserve"> </w:t>
      </w:r>
      <w:r w:rsidR="00DE329C" w:rsidRPr="006C6C4F">
        <w:rPr>
          <w:bCs/>
          <w:sz w:val="22"/>
          <w:szCs w:val="22"/>
        </w:rPr>
        <w:t>was</w:t>
      </w:r>
      <w:r w:rsidR="006E4FC0" w:rsidRPr="006C6C4F">
        <w:rPr>
          <w:bCs/>
          <w:sz w:val="22"/>
          <w:szCs w:val="22"/>
        </w:rPr>
        <w:t xml:space="preserve"> introduced</w:t>
      </w:r>
      <w:r w:rsidR="009C5975">
        <w:rPr>
          <w:bCs/>
          <w:sz w:val="22"/>
          <w:szCs w:val="22"/>
        </w:rPr>
        <w:t xml:space="preserve"> in </w:t>
      </w:r>
      <w:r w:rsidR="009C5975" w:rsidRPr="009C5975">
        <w:rPr>
          <w:bCs/>
          <w:sz w:val="22"/>
          <w:szCs w:val="22"/>
        </w:rPr>
        <w:t>Article 45.1(2</w:t>
      </w:r>
      <w:r w:rsidR="009C5975" w:rsidRPr="009C5975">
        <w:rPr>
          <w:bCs/>
          <w:sz w:val="22"/>
          <w:szCs w:val="22"/>
          <w:vertAlign w:val="superscript"/>
        </w:rPr>
        <w:t>1</w:t>
      </w:r>
      <w:r w:rsidR="009C5975" w:rsidRPr="009C5975">
        <w:rPr>
          <w:bCs/>
          <w:sz w:val="22"/>
          <w:szCs w:val="22"/>
        </w:rPr>
        <w:t>) LLSA</w:t>
      </w:r>
      <w:r w:rsidR="004534E9">
        <w:rPr>
          <w:bCs/>
          <w:sz w:val="22"/>
          <w:szCs w:val="22"/>
        </w:rPr>
        <w:t xml:space="preserve"> (see below, medium investment)</w:t>
      </w:r>
      <w:r w:rsidR="00610A33" w:rsidRPr="006C6C4F">
        <w:rPr>
          <w:bCs/>
          <w:sz w:val="22"/>
          <w:szCs w:val="22"/>
        </w:rPr>
        <w:t xml:space="preserve">. </w:t>
      </w:r>
      <w:r w:rsidR="00394625">
        <w:rPr>
          <w:bCs/>
          <w:sz w:val="22"/>
          <w:szCs w:val="22"/>
        </w:rPr>
        <w:t xml:space="preserve"> </w:t>
      </w:r>
    </w:p>
    <w:p w14:paraId="5EF2CBCB" w14:textId="77777777" w:rsidR="00B9576F" w:rsidRDefault="00B9576F" w:rsidP="00AE78BA">
      <w:pPr>
        <w:autoSpaceDE w:val="0"/>
        <w:autoSpaceDN w:val="0"/>
        <w:adjustRightInd w:val="0"/>
        <w:jc w:val="both"/>
        <w:rPr>
          <w:bCs/>
          <w:sz w:val="22"/>
          <w:szCs w:val="22"/>
        </w:rPr>
      </w:pPr>
    </w:p>
    <w:p w14:paraId="3BC09F79" w14:textId="1A8FF13F" w:rsidR="008C1FBA" w:rsidRPr="006C6C4F" w:rsidRDefault="00394625" w:rsidP="00AE78BA">
      <w:pPr>
        <w:autoSpaceDE w:val="0"/>
        <w:autoSpaceDN w:val="0"/>
        <w:adjustRightInd w:val="0"/>
        <w:jc w:val="both"/>
        <w:rPr>
          <w:sz w:val="22"/>
          <w:szCs w:val="22"/>
        </w:rPr>
      </w:pPr>
      <w:r>
        <w:rPr>
          <w:bCs/>
          <w:sz w:val="22"/>
          <w:szCs w:val="22"/>
        </w:rPr>
        <w:t xml:space="preserve">Consequently, </w:t>
      </w:r>
      <w:r>
        <w:rPr>
          <w:sz w:val="22"/>
          <w:szCs w:val="22"/>
        </w:rPr>
        <w:t>t</w:t>
      </w:r>
      <w:r w:rsidRPr="006C6C4F">
        <w:rPr>
          <w:sz w:val="22"/>
          <w:szCs w:val="22"/>
        </w:rPr>
        <w:t xml:space="preserve">here </w:t>
      </w:r>
      <w:r w:rsidR="00A50814" w:rsidRPr="006C6C4F">
        <w:rPr>
          <w:sz w:val="22"/>
          <w:szCs w:val="22"/>
        </w:rPr>
        <w:t>are</w:t>
      </w:r>
      <w:r w:rsidR="00F738D7">
        <w:rPr>
          <w:sz w:val="22"/>
          <w:szCs w:val="22"/>
        </w:rPr>
        <w:t xml:space="preserve"> currently</w:t>
      </w:r>
      <w:r w:rsidR="00A50814" w:rsidRPr="006C6C4F">
        <w:rPr>
          <w:sz w:val="22"/>
          <w:szCs w:val="22"/>
        </w:rPr>
        <w:t xml:space="preserve"> </w:t>
      </w:r>
      <w:r w:rsidR="005B33DC" w:rsidRPr="006C6C4F">
        <w:rPr>
          <w:sz w:val="22"/>
          <w:szCs w:val="22"/>
        </w:rPr>
        <w:t>two</w:t>
      </w:r>
      <w:r w:rsidR="00A50814" w:rsidRPr="006C6C4F">
        <w:rPr>
          <w:sz w:val="22"/>
          <w:szCs w:val="22"/>
        </w:rPr>
        <w:t xml:space="preserve"> types of investment levels</w:t>
      </w:r>
      <w:r>
        <w:rPr>
          <w:sz w:val="22"/>
          <w:szCs w:val="22"/>
        </w:rPr>
        <w:t xml:space="preserve"> </w:t>
      </w:r>
      <w:r w:rsidR="00D729CA">
        <w:rPr>
          <w:sz w:val="22"/>
          <w:szCs w:val="22"/>
        </w:rPr>
        <w:t>via</w:t>
      </w:r>
      <w:r>
        <w:rPr>
          <w:sz w:val="22"/>
          <w:szCs w:val="22"/>
        </w:rPr>
        <w:t xml:space="preserve"> which </w:t>
      </w:r>
      <w:r w:rsidR="00011825">
        <w:rPr>
          <w:sz w:val="22"/>
          <w:szCs w:val="22"/>
        </w:rPr>
        <w:t>foreign</w:t>
      </w:r>
      <w:r w:rsidR="00B9576F">
        <w:rPr>
          <w:sz w:val="22"/>
          <w:szCs w:val="22"/>
        </w:rPr>
        <w:t xml:space="preserve"> investors who come to </w:t>
      </w:r>
      <w:r w:rsidR="008D16CC">
        <w:rPr>
          <w:sz w:val="22"/>
          <w:szCs w:val="22"/>
        </w:rPr>
        <w:t>Lithuania</w:t>
      </w:r>
      <w:r w:rsidR="00B9576F">
        <w:rPr>
          <w:sz w:val="22"/>
          <w:szCs w:val="22"/>
        </w:rPr>
        <w:t xml:space="preserve"> to do business </w:t>
      </w:r>
      <w:r>
        <w:rPr>
          <w:sz w:val="22"/>
          <w:szCs w:val="22"/>
        </w:rPr>
        <w:t xml:space="preserve">can access </w:t>
      </w:r>
      <w:r w:rsidR="00D729CA">
        <w:rPr>
          <w:sz w:val="22"/>
          <w:szCs w:val="22"/>
        </w:rPr>
        <w:t>temporary residence</w:t>
      </w:r>
      <w:r>
        <w:rPr>
          <w:sz w:val="22"/>
          <w:szCs w:val="22"/>
        </w:rPr>
        <w:t>:</w:t>
      </w:r>
      <w:r w:rsidR="007D3419" w:rsidRPr="00551540">
        <w:rPr>
          <w:rStyle w:val="FootnoteReference"/>
        </w:rPr>
        <w:footnoteReference w:id="20"/>
      </w:r>
      <w:r w:rsidR="00A50814" w:rsidRPr="006C6C4F">
        <w:rPr>
          <w:sz w:val="22"/>
          <w:szCs w:val="22"/>
        </w:rPr>
        <w:t xml:space="preserve"> </w:t>
      </w:r>
    </w:p>
    <w:p w14:paraId="4F3A4AB0" w14:textId="3EBB4987" w:rsidR="008C1FBA" w:rsidRPr="006C6C4F" w:rsidRDefault="00A50814" w:rsidP="004C4CE9">
      <w:pPr>
        <w:pStyle w:val="ListParagraph"/>
        <w:numPr>
          <w:ilvl w:val="0"/>
          <w:numId w:val="13"/>
        </w:numPr>
        <w:autoSpaceDE w:val="0"/>
        <w:autoSpaceDN w:val="0"/>
        <w:adjustRightInd w:val="0"/>
        <w:rPr>
          <w:szCs w:val="22"/>
        </w:rPr>
      </w:pPr>
      <w:r w:rsidRPr="006C6C4F">
        <w:rPr>
          <w:szCs w:val="22"/>
        </w:rPr>
        <w:t xml:space="preserve">Article 45.1(1) LLSA sets the </w:t>
      </w:r>
      <w:r w:rsidR="000D7CB8" w:rsidRPr="006C6C4F">
        <w:rPr>
          <w:szCs w:val="22"/>
        </w:rPr>
        <w:t xml:space="preserve">investor’s personal investment </w:t>
      </w:r>
      <w:r w:rsidR="00A458C5" w:rsidRPr="006C6C4F">
        <w:rPr>
          <w:szCs w:val="22"/>
        </w:rPr>
        <w:t xml:space="preserve">of </w:t>
      </w:r>
      <w:r w:rsidR="000D7CB8" w:rsidRPr="006C6C4F">
        <w:rPr>
          <w:szCs w:val="22"/>
        </w:rPr>
        <w:t>at</w:t>
      </w:r>
      <w:r w:rsidRPr="006C6C4F">
        <w:rPr>
          <w:szCs w:val="22"/>
        </w:rPr>
        <w:t xml:space="preserve"> </w:t>
      </w:r>
      <w:r w:rsidR="00DE0416" w:rsidRPr="006C6C4F">
        <w:rPr>
          <w:szCs w:val="22"/>
        </w:rPr>
        <w:t xml:space="preserve">least </w:t>
      </w:r>
      <w:r w:rsidR="00F738D7">
        <w:rPr>
          <w:szCs w:val="22"/>
        </w:rPr>
        <w:t xml:space="preserve">EUR </w:t>
      </w:r>
      <w:r w:rsidRPr="006C6C4F">
        <w:rPr>
          <w:szCs w:val="22"/>
        </w:rPr>
        <w:t>14,000 euro</w:t>
      </w:r>
      <w:r w:rsidR="00DE0416" w:rsidRPr="006C6C4F">
        <w:rPr>
          <w:szCs w:val="22"/>
        </w:rPr>
        <w:t xml:space="preserve"> in a company that has the capital</w:t>
      </w:r>
      <w:r w:rsidR="008072C0">
        <w:rPr>
          <w:szCs w:val="22"/>
        </w:rPr>
        <w:t>/assets</w:t>
      </w:r>
      <w:r w:rsidR="00DE0416" w:rsidRPr="006C6C4F">
        <w:rPr>
          <w:szCs w:val="22"/>
        </w:rPr>
        <w:t xml:space="preserve"> of at least</w:t>
      </w:r>
      <w:r w:rsidR="00F738D7">
        <w:rPr>
          <w:szCs w:val="22"/>
        </w:rPr>
        <w:t xml:space="preserve"> EUR</w:t>
      </w:r>
      <w:r w:rsidR="00DE0416" w:rsidRPr="006C6C4F">
        <w:rPr>
          <w:szCs w:val="22"/>
        </w:rPr>
        <w:t xml:space="preserve"> 28,000</w:t>
      </w:r>
      <w:r w:rsidR="00F738D7">
        <w:rPr>
          <w:szCs w:val="22"/>
        </w:rPr>
        <w:t xml:space="preserve"> </w:t>
      </w:r>
      <w:r w:rsidR="00F412E9" w:rsidRPr="006C6C4F">
        <w:rPr>
          <w:szCs w:val="22"/>
        </w:rPr>
        <w:t>(</w:t>
      </w:r>
      <w:r w:rsidR="00956EAC" w:rsidRPr="00D91DB7">
        <w:rPr>
          <w:b/>
          <w:szCs w:val="22"/>
        </w:rPr>
        <w:t>small</w:t>
      </w:r>
      <w:r w:rsidR="00F412E9" w:rsidRPr="00D91DB7">
        <w:rPr>
          <w:b/>
          <w:szCs w:val="22"/>
        </w:rPr>
        <w:t xml:space="preserve"> investment</w:t>
      </w:r>
      <w:r w:rsidR="00F412E9" w:rsidRPr="006C6C4F">
        <w:rPr>
          <w:szCs w:val="22"/>
        </w:rPr>
        <w:t>)</w:t>
      </w:r>
      <w:r w:rsidR="000D7CB8" w:rsidRPr="006C6C4F">
        <w:rPr>
          <w:szCs w:val="22"/>
        </w:rPr>
        <w:t>;</w:t>
      </w:r>
      <w:r w:rsidRPr="006C6C4F">
        <w:rPr>
          <w:szCs w:val="22"/>
        </w:rPr>
        <w:t xml:space="preserve"> </w:t>
      </w:r>
    </w:p>
    <w:p w14:paraId="0A5011D1" w14:textId="6210EFE9" w:rsidR="008C1FBA" w:rsidRPr="006C6C4F" w:rsidRDefault="00A50814" w:rsidP="004C4CE9">
      <w:pPr>
        <w:pStyle w:val="ListParagraph"/>
        <w:numPr>
          <w:ilvl w:val="0"/>
          <w:numId w:val="13"/>
        </w:numPr>
        <w:autoSpaceDE w:val="0"/>
        <w:autoSpaceDN w:val="0"/>
        <w:adjustRightInd w:val="0"/>
        <w:rPr>
          <w:szCs w:val="22"/>
        </w:rPr>
      </w:pPr>
      <w:r w:rsidRPr="006C6C4F">
        <w:rPr>
          <w:szCs w:val="22"/>
        </w:rPr>
        <w:lastRenderedPageBreak/>
        <w:t>Article 45.1(2</w:t>
      </w:r>
      <w:r w:rsidRPr="006C6C4F">
        <w:rPr>
          <w:szCs w:val="22"/>
          <w:vertAlign w:val="superscript"/>
        </w:rPr>
        <w:t>1</w:t>
      </w:r>
      <w:r w:rsidRPr="006C6C4F">
        <w:rPr>
          <w:szCs w:val="22"/>
        </w:rPr>
        <w:t xml:space="preserve">) LLSA </w:t>
      </w:r>
      <w:r w:rsidR="000D7CB8" w:rsidRPr="006C6C4F">
        <w:rPr>
          <w:szCs w:val="22"/>
        </w:rPr>
        <w:t>requires</w:t>
      </w:r>
      <w:r w:rsidR="00F738D7">
        <w:rPr>
          <w:szCs w:val="22"/>
        </w:rPr>
        <w:t xml:space="preserve"> </w:t>
      </w:r>
      <w:r w:rsidR="00A458C5" w:rsidRPr="006C6C4F">
        <w:rPr>
          <w:szCs w:val="22"/>
        </w:rPr>
        <w:t>minimum</w:t>
      </w:r>
      <w:r w:rsidR="00F738D7">
        <w:rPr>
          <w:szCs w:val="22"/>
        </w:rPr>
        <w:t xml:space="preserve"> EUR</w:t>
      </w:r>
      <w:r w:rsidRPr="006C6C4F">
        <w:rPr>
          <w:szCs w:val="22"/>
        </w:rPr>
        <w:t xml:space="preserve"> 260,000</w:t>
      </w:r>
      <w:r w:rsidR="0075596F">
        <w:rPr>
          <w:szCs w:val="22"/>
        </w:rPr>
        <w:t xml:space="preserve"> </w:t>
      </w:r>
      <w:r w:rsidR="00DE0416" w:rsidRPr="006C6C4F">
        <w:rPr>
          <w:szCs w:val="22"/>
        </w:rPr>
        <w:t>investment</w:t>
      </w:r>
      <w:r w:rsidR="008475BC">
        <w:rPr>
          <w:szCs w:val="22"/>
        </w:rPr>
        <w:t>/assets</w:t>
      </w:r>
      <w:r w:rsidR="00DE0416" w:rsidRPr="006C6C4F">
        <w:rPr>
          <w:szCs w:val="22"/>
        </w:rPr>
        <w:t xml:space="preserve"> in a company</w:t>
      </w:r>
      <w:r w:rsidR="00F412E9" w:rsidRPr="006C6C4F">
        <w:rPr>
          <w:szCs w:val="22"/>
        </w:rPr>
        <w:t xml:space="preserve"> (</w:t>
      </w:r>
      <w:r w:rsidR="00F412E9" w:rsidRPr="00D91DB7">
        <w:rPr>
          <w:b/>
          <w:szCs w:val="22"/>
        </w:rPr>
        <w:t>medium investment</w:t>
      </w:r>
      <w:r w:rsidR="00F412E9" w:rsidRPr="006C6C4F">
        <w:rPr>
          <w:szCs w:val="22"/>
        </w:rPr>
        <w:t>)</w:t>
      </w:r>
      <w:r w:rsidR="00A45EB8" w:rsidRPr="006C6C4F">
        <w:rPr>
          <w:szCs w:val="22"/>
        </w:rPr>
        <w:t>.</w:t>
      </w:r>
    </w:p>
    <w:p w14:paraId="761A4597" w14:textId="0C706FEF" w:rsidR="00036A24" w:rsidRDefault="00036A24" w:rsidP="003B7A83">
      <w:pPr>
        <w:jc w:val="both"/>
      </w:pPr>
      <w:r w:rsidRPr="004C4CE9">
        <w:rPr>
          <w:sz w:val="22"/>
          <w:szCs w:val="22"/>
        </w:rPr>
        <w:t>Based on the level of investment</w:t>
      </w:r>
      <w:r>
        <w:rPr>
          <w:sz w:val="22"/>
          <w:szCs w:val="22"/>
        </w:rPr>
        <w:t xml:space="preserve">, it can be concluded </w:t>
      </w:r>
      <w:r w:rsidR="00E049B7">
        <w:rPr>
          <w:sz w:val="22"/>
          <w:szCs w:val="22"/>
        </w:rPr>
        <w:t xml:space="preserve">that the Lithuanian legislation contemplates two categories of investors: </w:t>
      </w:r>
      <w:r w:rsidR="00E049B7">
        <w:rPr>
          <w:b/>
          <w:sz w:val="22"/>
          <w:szCs w:val="22"/>
        </w:rPr>
        <w:t xml:space="preserve">small </w:t>
      </w:r>
      <w:r w:rsidR="00E049B7">
        <w:rPr>
          <w:sz w:val="22"/>
          <w:szCs w:val="22"/>
        </w:rPr>
        <w:t xml:space="preserve">and </w:t>
      </w:r>
      <w:r w:rsidR="00E049B7">
        <w:rPr>
          <w:b/>
          <w:sz w:val="22"/>
          <w:szCs w:val="22"/>
        </w:rPr>
        <w:t>medium investors</w:t>
      </w:r>
      <w:r w:rsidR="00E049B7">
        <w:rPr>
          <w:sz w:val="22"/>
          <w:szCs w:val="22"/>
        </w:rPr>
        <w:t>, regardless of the role under which they participate in the running of the company.</w:t>
      </w:r>
    </w:p>
    <w:p w14:paraId="0722E2F5" w14:textId="77777777" w:rsidR="00A2190E" w:rsidRDefault="00A2190E" w:rsidP="00BC7B67">
      <w:pPr>
        <w:jc w:val="both"/>
      </w:pPr>
    </w:p>
    <w:p w14:paraId="113D1CAA" w14:textId="48A9BE34" w:rsidR="008B6006" w:rsidRDefault="00915575" w:rsidP="00BC7B67">
      <w:pPr>
        <w:jc w:val="both"/>
        <w:rPr>
          <w:bCs/>
          <w:sz w:val="22"/>
          <w:szCs w:val="22"/>
          <w:lang w:val="en-US"/>
        </w:rPr>
      </w:pPr>
      <w:r>
        <w:t xml:space="preserve">Apart from the investment that must be fulfilled by the </w:t>
      </w:r>
      <w:r w:rsidRPr="003B7A83">
        <w:t>investors</w:t>
      </w:r>
      <w:r>
        <w:t xml:space="preserve"> (whether in the lower or upper level), </w:t>
      </w:r>
      <w:r w:rsidR="00BC7B67">
        <w:t>there are</w:t>
      </w:r>
      <w:r>
        <w:t xml:space="preserve"> additional requirements </w:t>
      </w:r>
      <w:r w:rsidR="00BC7B67">
        <w:t xml:space="preserve">for their </w:t>
      </w:r>
      <w:r w:rsidR="00BC7B67" w:rsidRPr="00E35B8B">
        <w:rPr>
          <w:b/>
        </w:rPr>
        <w:t>companies</w:t>
      </w:r>
      <w:r>
        <w:t>. These requirements vary depending on the level of investment carried out.</w:t>
      </w:r>
      <w:r w:rsidR="00057B43">
        <w:t xml:space="preserve"> </w:t>
      </w:r>
    </w:p>
    <w:p w14:paraId="0BA4D6CB" w14:textId="77777777" w:rsidR="008B6006" w:rsidRPr="006C4678" w:rsidRDefault="008B6006" w:rsidP="00BC7B67">
      <w:pPr>
        <w:jc w:val="both"/>
      </w:pPr>
    </w:p>
    <w:p w14:paraId="54D29A23" w14:textId="04F36656" w:rsidR="000C3ADC" w:rsidRDefault="00E049B7" w:rsidP="00995929">
      <w:pPr>
        <w:pStyle w:val="MMultilevel"/>
        <w:ind w:hanging="1"/>
        <w:rPr>
          <w:lang w:val="en-GB"/>
        </w:rPr>
      </w:pPr>
      <w:r w:rsidRPr="004C4CE9">
        <w:rPr>
          <w:b/>
          <w:lang w:val="en-GB"/>
        </w:rPr>
        <w:t>Small investors</w:t>
      </w:r>
      <w:r w:rsidR="00193800" w:rsidRPr="004C4CE9">
        <w:rPr>
          <w:b/>
          <w:lang w:val="en-GB"/>
        </w:rPr>
        <w:t xml:space="preserve"> </w:t>
      </w:r>
      <w:r w:rsidR="00395DEC">
        <w:rPr>
          <w:lang w:val="en-GB"/>
        </w:rPr>
        <w:t xml:space="preserve">must demonstrate that </w:t>
      </w:r>
      <w:r>
        <w:rPr>
          <w:lang w:val="en-GB"/>
        </w:rPr>
        <w:t>the company in which they participate</w:t>
      </w:r>
      <w:r w:rsidR="000C3ADC" w:rsidRPr="006C6C4F">
        <w:rPr>
          <w:lang w:val="en-GB"/>
        </w:rPr>
        <w:t>:</w:t>
      </w:r>
      <w:r w:rsidR="008B6006">
        <w:rPr>
          <w:rStyle w:val="FootnoteReference"/>
          <w:lang w:val="en-GB"/>
        </w:rPr>
        <w:footnoteReference w:id="21"/>
      </w:r>
    </w:p>
    <w:p w14:paraId="2E7006F5" w14:textId="1E8A8919" w:rsidR="000C3ADC" w:rsidRPr="00E178B3" w:rsidRDefault="000C3ADC" w:rsidP="00547627">
      <w:pPr>
        <w:pStyle w:val="MMultileveltable"/>
        <w:ind w:left="426"/>
      </w:pPr>
      <w:r w:rsidRPr="00E178B3">
        <w:t>Carries out the legally declared business activity for at least the last</w:t>
      </w:r>
      <w:r w:rsidR="00DF16DF" w:rsidRPr="00E178B3">
        <w:t xml:space="preserve"> six</w:t>
      </w:r>
      <w:r w:rsidRPr="00E178B3">
        <w:t xml:space="preserve"> months before the application for t</w:t>
      </w:r>
      <w:r w:rsidR="00A50814" w:rsidRPr="00E178B3">
        <w:t xml:space="preserve">he </w:t>
      </w:r>
      <w:r w:rsidR="00D91DB7" w:rsidRPr="00E178B3">
        <w:t xml:space="preserve">investor’s </w:t>
      </w:r>
      <w:r w:rsidR="00A50814" w:rsidRPr="00E178B3">
        <w:t>temporary residence is filed</w:t>
      </w:r>
      <w:r w:rsidR="00337781" w:rsidRPr="00E178B3">
        <w:t xml:space="preserve"> (the </w:t>
      </w:r>
      <w:r w:rsidR="00C95359" w:rsidRPr="00E178B3">
        <w:t xml:space="preserve">genuine </w:t>
      </w:r>
      <w:r w:rsidR="001E28EF" w:rsidRPr="00E178B3">
        <w:t>business</w:t>
      </w:r>
      <w:r w:rsidR="00337781" w:rsidRPr="00E178B3">
        <w:t xml:space="preserve"> presence requirement)</w:t>
      </w:r>
      <w:r w:rsidR="00A50814" w:rsidRPr="00E178B3">
        <w:t>;</w:t>
      </w:r>
    </w:p>
    <w:p w14:paraId="254A8481" w14:textId="298A1FBA" w:rsidR="00915575" w:rsidRPr="00E178B3" w:rsidRDefault="00C45685" w:rsidP="00547627">
      <w:pPr>
        <w:pStyle w:val="MMultileveltable"/>
        <w:ind w:left="426"/>
      </w:pPr>
      <w:r w:rsidRPr="00E178B3">
        <w:t>Has</w:t>
      </w:r>
      <w:r w:rsidR="00C62F1F" w:rsidRPr="00E178B3">
        <w:t xml:space="preserve"> </w:t>
      </w:r>
      <w:r w:rsidR="00A37434" w:rsidRPr="00E178B3">
        <w:t xml:space="preserve">full-time </w:t>
      </w:r>
      <w:r w:rsidR="00AA0EA0" w:rsidRPr="00E178B3">
        <w:t>workers</w:t>
      </w:r>
      <w:r w:rsidR="00A37434" w:rsidRPr="00E178B3">
        <w:t xml:space="preserve"> </w:t>
      </w:r>
      <w:r w:rsidR="009757C8" w:rsidRPr="00E178B3">
        <w:t>(at least one)</w:t>
      </w:r>
      <w:r w:rsidR="00681BD9" w:rsidRPr="00E178B3">
        <w:rPr>
          <w:vertAlign w:val="superscript"/>
        </w:rPr>
        <w:footnoteReference w:id="22"/>
      </w:r>
      <w:r w:rsidR="009757C8" w:rsidRPr="00E178B3">
        <w:t xml:space="preserve"> </w:t>
      </w:r>
      <w:r w:rsidR="00A37434" w:rsidRPr="00E178B3">
        <w:t xml:space="preserve">who are </w:t>
      </w:r>
      <w:r w:rsidR="000C3ADC" w:rsidRPr="00E178B3">
        <w:t xml:space="preserve">Lithuanian, EU/EEA citizens or permanently residing foreign </w:t>
      </w:r>
      <w:r w:rsidR="00C1206B" w:rsidRPr="00E178B3">
        <w:t>nationals</w:t>
      </w:r>
      <w:r w:rsidR="00A37434" w:rsidRPr="00E178B3">
        <w:t xml:space="preserve">. </w:t>
      </w:r>
    </w:p>
    <w:p w14:paraId="7C55D19C" w14:textId="5C8760DA" w:rsidR="000C3ADC" w:rsidRPr="00E178B3" w:rsidRDefault="00A37434" w:rsidP="00547627">
      <w:pPr>
        <w:pStyle w:val="MMultileveltable"/>
        <w:ind w:left="426"/>
      </w:pPr>
      <w:r w:rsidRPr="00E178B3">
        <w:t xml:space="preserve">The </w:t>
      </w:r>
      <w:r w:rsidR="00C1206B" w:rsidRPr="00E178B3">
        <w:t>workers</w:t>
      </w:r>
      <w:r w:rsidR="006B656D" w:rsidRPr="00E178B3">
        <w:t xml:space="preserve"> </w:t>
      </w:r>
      <w:r w:rsidR="002640EA" w:rsidRPr="00E178B3">
        <w:t xml:space="preserve">must </w:t>
      </w:r>
      <w:r w:rsidR="006B656D" w:rsidRPr="00E178B3">
        <w:t>receive</w:t>
      </w:r>
      <w:r w:rsidR="009A1AC1" w:rsidRPr="00E178B3">
        <w:t xml:space="preserve"> the </w:t>
      </w:r>
      <w:r w:rsidR="005F74F4" w:rsidRPr="00E178B3">
        <w:t xml:space="preserve">total </w:t>
      </w:r>
      <w:r w:rsidR="009A1AC1" w:rsidRPr="00E178B3">
        <w:t xml:space="preserve">minimum pay of at least </w:t>
      </w:r>
      <w:r w:rsidR="007E7FED" w:rsidRPr="00E178B3">
        <w:t xml:space="preserve">two </w:t>
      </w:r>
      <w:r w:rsidR="00A26116" w:rsidRPr="00E178B3">
        <w:t>gross</w:t>
      </w:r>
      <w:r w:rsidR="007E7FED" w:rsidRPr="00E178B3">
        <w:t xml:space="preserve"> average monthly salaries (BDU) </w:t>
      </w:r>
      <w:r w:rsidR="006B656D" w:rsidRPr="00E178B3">
        <w:t>measured at</w:t>
      </w:r>
      <w:r w:rsidR="005F74F4" w:rsidRPr="00E178B3">
        <w:t xml:space="preserve"> the last financial quarter, as announced by the Lithuanian Department of Statistics.</w:t>
      </w:r>
      <w:r w:rsidR="007E7FED" w:rsidRPr="00E178B3">
        <w:rPr>
          <w:vertAlign w:val="superscript"/>
        </w:rPr>
        <w:footnoteReference w:id="23"/>
      </w:r>
    </w:p>
    <w:p w14:paraId="035756A5" w14:textId="43133A79" w:rsidR="000C3ADC" w:rsidRPr="00E049B7" w:rsidRDefault="000C3ADC" w:rsidP="000C3ADC">
      <w:pPr>
        <w:rPr>
          <w:sz w:val="22"/>
          <w:szCs w:val="22"/>
        </w:rPr>
      </w:pPr>
    </w:p>
    <w:p w14:paraId="48A3ACEA" w14:textId="10BDF67B" w:rsidR="000C3ADC" w:rsidRPr="00E049B7" w:rsidRDefault="00E049B7" w:rsidP="000C3ADC">
      <w:pPr>
        <w:rPr>
          <w:sz w:val="22"/>
          <w:szCs w:val="22"/>
        </w:rPr>
      </w:pPr>
      <w:r w:rsidRPr="00E049B7">
        <w:rPr>
          <w:b/>
          <w:sz w:val="22"/>
          <w:szCs w:val="22"/>
        </w:rPr>
        <w:t>Medium investors</w:t>
      </w:r>
      <w:r w:rsidR="001618AF" w:rsidRPr="00E049B7">
        <w:rPr>
          <w:b/>
          <w:sz w:val="22"/>
          <w:szCs w:val="22"/>
        </w:rPr>
        <w:t xml:space="preserve"> </w:t>
      </w:r>
      <w:r w:rsidR="00395DEC" w:rsidRPr="004C4CE9">
        <w:rPr>
          <w:sz w:val="22"/>
          <w:szCs w:val="22"/>
        </w:rPr>
        <w:t>must demonstrate that</w:t>
      </w:r>
      <w:r w:rsidRPr="004C4CE9">
        <w:rPr>
          <w:sz w:val="22"/>
          <w:szCs w:val="22"/>
        </w:rPr>
        <w:t xml:space="preserve"> the company in which they participate</w:t>
      </w:r>
      <w:r w:rsidR="003161FA" w:rsidRPr="00E049B7">
        <w:rPr>
          <w:sz w:val="22"/>
          <w:szCs w:val="22"/>
        </w:rPr>
        <w:t>:</w:t>
      </w:r>
      <w:r w:rsidR="008B6006" w:rsidRPr="00E049B7">
        <w:rPr>
          <w:rStyle w:val="FootnoteReference"/>
          <w:sz w:val="22"/>
          <w:szCs w:val="22"/>
        </w:rPr>
        <w:footnoteReference w:id="24"/>
      </w:r>
    </w:p>
    <w:p w14:paraId="4A2D76F5" w14:textId="6AEC1557" w:rsidR="00B34D3B" w:rsidRPr="006C6C4F" w:rsidRDefault="00B34D3B" w:rsidP="00547627">
      <w:pPr>
        <w:pStyle w:val="MMultileveltable"/>
        <w:ind w:left="426"/>
      </w:pPr>
      <w:r w:rsidRPr="006C6C4F">
        <w:t xml:space="preserve">Carries out the legally declared business activity for at least the last </w:t>
      </w:r>
      <w:r w:rsidR="00DF16DF">
        <w:t>six</w:t>
      </w:r>
      <w:r w:rsidR="00DF16DF" w:rsidRPr="006C6C4F">
        <w:t xml:space="preserve"> </w:t>
      </w:r>
      <w:r w:rsidRPr="006C6C4F">
        <w:t xml:space="preserve">months before the application for the </w:t>
      </w:r>
      <w:r w:rsidR="00D91DB7">
        <w:t xml:space="preserve">investor’s </w:t>
      </w:r>
      <w:r w:rsidRPr="006C6C4F">
        <w:t xml:space="preserve">temporary residence is filed (the </w:t>
      </w:r>
      <w:r w:rsidR="00C95359" w:rsidRPr="006C6C4F">
        <w:t xml:space="preserve">genuine </w:t>
      </w:r>
      <w:r w:rsidR="001E28EF" w:rsidRPr="006C6C4F">
        <w:t>business</w:t>
      </w:r>
      <w:r w:rsidRPr="006C6C4F">
        <w:t xml:space="preserve"> presence requirement);</w:t>
      </w:r>
    </w:p>
    <w:p w14:paraId="4D3968B3" w14:textId="62A57FA2" w:rsidR="003161FA" w:rsidRPr="006C6C4F" w:rsidRDefault="000D7CB8" w:rsidP="00547627">
      <w:pPr>
        <w:pStyle w:val="MMultileveltable"/>
        <w:ind w:left="426"/>
      </w:pPr>
      <w:r w:rsidRPr="006C6C4F">
        <w:t>Employs</w:t>
      </w:r>
      <w:r w:rsidR="00DF16DF">
        <w:t xml:space="preserve"> at</w:t>
      </w:r>
      <w:r w:rsidRPr="006C6C4F">
        <w:t xml:space="preserve"> least five full-time workers who are Lithuanian, EU/EEA citizens or perma</w:t>
      </w:r>
      <w:r w:rsidR="00C1206B" w:rsidRPr="006C6C4F">
        <w:t>nently residing foreign nationals</w:t>
      </w:r>
      <w:r w:rsidR="00E06180" w:rsidRPr="006C6C4F">
        <w:t>. No</w:t>
      </w:r>
      <w:r w:rsidR="00C1206B" w:rsidRPr="006C6C4F">
        <w:t xml:space="preserve"> conditions on </w:t>
      </w:r>
      <w:r w:rsidR="00E06180" w:rsidRPr="006C6C4F">
        <w:t>workers’</w:t>
      </w:r>
      <w:r w:rsidR="00C1206B" w:rsidRPr="006C6C4F">
        <w:t xml:space="preserve"> pay level </w:t>
      </w:r>
      <w:r w:rsidR="004B205E" w:rsidRPr="006C6C4F">
        <w:t>is</w:t>
      </w:r>
      <w:r w:rsidR="00C1206B" w:rsidRPr="006C6C4F">
        <w:t xml:space="preserve"> </w:t>
      </w:r>
      <w:r w:rsidR="009F125D" w:rsidRPr="006C6C4F">
        <w:t xml:space="preserve">set by </w:t>
      </w:r>
      <w:r w:rsidR="004B205E" w:rsidRPr="006C6C4F">
        <w:t xml:space="preserve">the </w:t>
      </w:r>
      <w:r w:rsidR="009F125D" w:rsidRPr="006C6C4F">
        <w:t>LLSA</w:t>
      </w:r>
      <w:r w:rsidR="00E06180" w:rsidRPr="006C6C4F">
        <w:t xml:space="preserve"> </w:t>
      </w:r>
      <w:r w:rsidR="0047663C" w:rsidRPr="006C6C4F">
        <w:t>for</w:t>
      </w:r>
      <w:r w:rsidR="00E06180" w:rsidRPr="006C6C4F">
        <w:t xml:space="preserve"> such </w:t>
      </w:r>
      <w:r w:rsidR="00D91DB7">
        <w:t>companies</w:t>
      </w:r>
      <w:r w:rsidR="00C1206B" w:rsidRPr="006C6C4F">
        <w:t>.</w:t>
      </w:r>
    </w:p>
    <w:p w14:paraId="2E7270BF" w14:textId="77777777" w:rsidR="000C3ADC" w:rsidRPr="006C6C4F" w:rsidRDefault="000C3ADC" w:rsidP="000C3ADC"/>
    <w:p w14:paraId="12993757" w14:textId="11BABA93" w:rsidR="007B0F9E" w:rsidRPr="008B6006" w:rsidRDefault="00D91DB7" w:rsidP="00B91BBB">
      <w:pPr>
        <w:jc w:val="both"/>
        <w:rPr>
          <w:bCs/>
          <w:sz w:val="22"/>
          <w:szCs w:val="22"/>
        </w:rPr>
      </w:pPr>
      <w:r>
        <w:rPr>
          <w:sz w:val="22"/>
          <w:szCs w:val="22"/>
        </w:rPr>
        <w:t>Therefore, the nature of the foreign investment is defined not only by the amount directly invested, b</w:t>
      </w:r>
      <w:r w:rsidR="008B6006">
        <w:rPr>
          <w:sz w:val="22"/>
          <w:szCs w:val="22"/>
        </w:rPr>
        <w:t>u</w:t>
      </w:r>
      <w:r>
        <w:rPr>
          <w:sz w:val="22"/>
          <w:szCs w:val="22"/>
        </w:rPr>
        <w:t>t also by the company’s</w:t>
      </w:r>
      <w:r w:rsidR="007B0F9E" w:rsidRPr="006C6C4F">
        <w:rPr>
          <w:sz w:val="22"/>
          <w:szCs w:val="22"/>
        </w:rPr>
        <w:t xml:space="preserve"> </w:t>
      </w:r>
      <w:r>
        <w:rPr>
          <w:sz w:val="22"/>
          <w:szCs w:val="22"/>
        </w:rPr>
        <w:t xml:space="preserve">size, which is expressed in </w:t>
      </w:r>
      <w:r w:rsidR="007B0F9E" w:rsidRPr="006C6C4F">
        <w:rPr>
          <w:sz w:val="22"/>
          <w:szCs w:val="22"/>
        </w:rPr>
        <w:t xml:space="preserve">the number of the permanent full-time workers and the level of pay these workers would receive. </w:t>
      </w:r>
      <w:r w:rsidR="007B0F9E" w:rsidRPr="006C6C4F">
        <w:rPr>
          <w:bCs/>
          <w:sz w:val="22"/>
          <w:szCs w:val="22"/>
        </w:rPr>
        <w:t xml:space="preserve">In this way, the spirit of the law communicates that Lithuania welcomes </w:t>
      </w:r>
      <w:r w:rsidR="007B0F9E">
        <w:rPr>
          <w:bCs/>
          <w:sz w:val="22"/>
          <w:szCs w:val="22"/>
        </w:rPr>
        <w:t xml:space="preserve">only </w:t>
      </w:r>
      <w:r>
        <w:rPr>
          <w:bCs/>
          <w:sz w:val="22"/>
          <w:szCs w:val="22"/>
        </w:rPr>
        <w:t xml:space="preserve">the </w:t>
      </w:r>
      <w:r w:rsidR="007B0F9E" w:rsidRPr="006C6C4F">
        <w:rPr>
          <w:bCs/>
          <w:sz w:val="22"/>
          <w:szCs w:val="22"/>
        </w:rPr>
        <w:t>foreign</w:t>
      </w:r>
      <w:r>
        <w:rPr>
          <w:bCs/>
          <w:sz w:val="22"/>
          <w:szCs w:val="22"/>
        </w:rPr>
        <w:t xml:space="preserve"> </w:t>
      </w:r>
      <w:r w:rsidR="007B0F9E" w:rsidRPr="006C6C4F">
        <w:rPr>
          <w:bCs/>
          <w:sz w:val="22"/>
          <w:szCs w:val="22"/>
        </w:rPr>
        <w:t>invest</w:t>
      </w:r>
      <w:r>
        <w:rPr>
          <w:bCs/>
          <w:sz w:val="22"/>
          <w:szCs w:val="22"/>
        </w:rPr>
        <w:t>ors who</w:t>
      </w:r>
      <w:r w:rsidR="007B0F9E">
        <w:rPr>
          <w:bCs/>
          <w:sz w:val="22"/>
          <w:szCs w:val="22"/>
        </w:rPr>
        <w:t xml:space="preserve"> </w:t>
      </w:r>
      <w:r w:rsidR="007B0F9E" w:rsidRPr="006C6C4F">
        <w:rPr>
          <w:bCs/>
          <w:sz w:val="22"/>
          <w:szCs w:val="22"/>
        </w:rPr>
        <w:t>at the same time carry o</w:t>
      </w:r>
      <w:r w:rsidR="007B0F9E">
        <w:rPr>
          <w:bCs/>
          <w:sz w:val="22"/>
          <w:szCs w:val="22"/>
        </w:rPr>
        <w:t>ut</w:t>
      </w:r>
      <w:r w:rsidR="007B0F9E" w:rsidRPr="006C6C4F">
        <w:rPr>
          <w:bCs/>
          <w:sz w:val="22"/>
          <w:szCs w:val="22"/>
        </w:rPr>
        <w:t xml:space="preserve"> a business activity and create new jobs, contributing to the country’s economic and social development.</w:t>
      </w:r>
      <w:r w:rsidR="007B0F9E" w:rsidRPr="00551540">
        <w:rPr>
          <w:rStyle w:val="FootnoteReference"/>
        </w:rPr>
        <w:footnoteReference w:id="25"/>
      </w:r>
    </w:p>
    <w:p w14:paraId="66069A17" w14:textId="77777777" w:rsidR="00001F12" w:rsidRPr="006C6C4F" w:rsidRDefault="00001F12" w:rsidP="00B91BBB">
      <w:pPr>
        <w:jc w:val="both"/>
        <w:rPr>
          <w:sz w:val="22"/>
          <w:szCs w:val="22"/>
        </w:rPr>
      </w:pPr>
    </w:p>
    <w:p w14:paraId="2F4BB8EF" w14:textId="77777777" w:rsidR="00DD430D" w:rsidRPr="009F3034" w:rsidRDefault="001D7DA5" w:rsidP="00BD2F76">
      <w:pPr>
        <w:pStyle w:val="MMultileveltable"/>
        <w:ind w:left="426"/>
        <w:rPr>
          <w:b/>
          <w:i/>
        </w:rPr>
      </w:pPr>
      <w:r w:rsidRPr="006C6C4F">
        <w:rPr>
          <w:b/>
          <w:i/>
        </w:rPr>
        <w:t>Competent authorities</w:t>
      </w:r>
    </w:p>
    <w:p w14:paraId="07028464" w14:textId="77777777" w:rsidR="00DD430D" w:rsidRPr="006C6C4F" w:rsidRDefault="00DD430D" w:rsidP="00DD430D">
      <w:pPr>
        <w:pStyle w:val="MMultilevel"/>
        <w:rPr>
          <w:i/>
          <w:lang w:val="en-GB"/>
        </w:rPr>
      </w:pPr>
    </w:p>
    <w:p w14:paraId="069DA276" w14:textId="2C190B62" w:rsidR="00DC4F3C" w:rsidRDefault="00DC4F3C" w:rsidP="00DC4F3C">
      <w:pPr>
        <w:pStyle w:val="MBT"/>
        <w:rPr>
          <w:lang w:val="en-GB"/>
        </w:rPr>
      </w:pPr>
      <w:r w:rsidRPr="006C6C4F">
        <w:rPr>
          <w:lang w:val="en-GB"/>
        </w:rPr>
        <w:t xml:space="preserve">According to Article 4.1 LLSA, the </w:t>
      </w:r>
      <w:r w:rsidR="00E00F9C" w:rsidRPr="006C6C4F">
        <w:rPr>
          <w:lang w:val="en-GB"/>
        </w:rPr>
        <w:t xml:space="preserve">key </w:t>
      </w:r>
      <w:r w:rsidRPr="006C6C4F">
        <w:rPr>
          <w:lang w:val="en-GB"/>
        </w:rPr>
        <w:t>institutions that control the presence and residence of foreign nationals in Lithuania</w:t>
      </w:r>
      <w:r w:rsidR="003029C8" w:rsidRPr="006C6C4F">
        <w:rPr>
          <w:lang w:val="en-GB"/>
        </w:rPr>
        <w:t xml:space="preserve"> are as follows</w:t>
      </w:r>
      <w:r w:rsidRPr="006C6C4F">
        <w:rPr>
          <w:lang w:val="en-GB"/>
        </w:rPr>
        <w:t>:</w:t>
      </w:r>
    </w:p>
    <w:p w14:paraId="686E29D5" w14:textId="77777777" w:rsidR="00DC4F3C" w:rsidRPr="006C6C4F" w:rsidRDefault="00DC4F3C" w:rsidP="00547627">
      <w:pPr>
        <w:pStyle w:val="MMultileveltable"/>
        <w:ind w:left="426"/>
      </w:pPr>
      <w:r w:rsidRPr="006C6C4F">
        <w:t>Police Department at the Ministry of the Interior</w:t>
      </w:r>
    </w:p>
    <w:p w14:paraId="6547CD95" w14:textId="77777777" w:rsidR="00DC4F3C" w:rsidRPr="006C6C4F" w:rsidRDefault="00DC4F3C" w:rsidP="00547627">
      <w:pPr>
        <w:pStyle w:val="MMultileveltable"/>
        <w:ind w:left="426"/>
      </w:pPr>
      <w:r w:rsidRPr="006C6C4F">
        <w:t>Migration Department at the Ministry of the Interior</w:t>
      </w:r>
    </w:p>
    <w:p w14:paraId="0EA6BAFA" w14:textId="77777777" w:rsidR="00DC4F3C" w:rsidRPr="006C6C4F" w:rsidRDefault="00DC4F3C" w:rsidP="00547627">
      <w:pPr>
        <w:pStyle w:val="MMultileveltable"/>
        <w:ind w:left="426"/>
      </w:pPr>
      <w:r w:rsidRPr="006C6C4F">
        <w:t>State Border Guard Service at the Ministry of the Interior</w:t>
      </w:r>
    </w:p>
    <w:p w14:paraId="2D5FC73D" w14:textId="77777777" w:rsidR="00DC4F3C" w:rsidRPr="006C6C4F" w:rsidRDefault="00DC4F3C" w:rsidP="00DC4F3C">
      <w:pPr>
        <w:pStyle w:val="MBT"/>
        <w:rPr>
          <w:lang w:val="en-GB"/>
        </w:rPr>
      </w:pPr>
    </w:p>
    <w:p w14:paraId="4E6B2E66" w14:textId="64F9A4F9" w:rsidR="00FD600F" w:rsidRPr="006C6C4F" w:rsidRDefault="00FD600F" w:rsidP="00FD600F">
      <w:pPr>
        <w:pStyle w:val="MBT"/>
        <w:rPr>
          <w:lang w:val="en-GB"/>
        </w:rPr>
      </w:pPr>
      <w:r w:rsidRPr="006C6C4F">
        <w:rPr>
          <w:lang w:val="en-GB"/>
        </w:rPr>
        <w:t>In terms of competent authorities in a general context regarding migration and residence permits</w:t>
      </w:r>
      <w:r w:rsidR="00D541A0">
        <w:rPr>
          <w:lang w:val="en-GB"/>
        </w:rPr>
        <w:t xml:space="preserve"> </w:t>
      </w:r>
      <w:r w:rsidR="00D541A0">
        <w:rPr>
          <w:lang w:val="en-GB"/>
        </w:rPr>
        <w:lastRenderedPageBreak/>
        <w:t>(apart from asylum and refugee system)</w:t>
      </w:r>
      <w:r w:rsidRPr="006C6C4F">
        <w:rPr>
          <w:lang w:val="en-GB"/>
        </w:rPr>
        <w:t>, the key institutions and processes are the following:</w:t>
      </w:r>
      <w:r w:rsidRPr="006C6C4F">
        <w:rPr>
          <w:rStyle w:val="FootnoteReference"/>
          <w:lang w:val="en-GB"/>
        </w:rPr>
        <w:t xml:space="preserve"> </w:t>
      </w:r>
      <w:r w:rsidRPr="00A47E9E">
        <w:rPr>
          <w:rStyle w:val="FootnoteReference"/>
        </w:rPr>
        <w:footnoteReference w:id="26"/>
      </w:r>
    </w:p>
    <w:p w14:paraId="00DFE496" w14:textId="77777777" w:rsidR="00FD600F" w:rsidRPr="006C6C4F" w:rsidRDefault="00FD600F" w:rsidP="00FD600F">
      <w:pPr>
        <w:pStyle w:val="MBT"/>
        <w:rPr>
          <w:lang w:val="en-GB"/>
        </w:rPr>
      </w:pPr>
      <w:r w:rsidRPr="006C6C4F">
        <w:rPr>
          <w:noProof/>
          <w:lang w:val="fr-BE" w:eastAsia="fr-BE"/>
        </w:rPr>
        <w:drawing>
          <wp:inline distT="0" distB="0" distL="0" distR="0" wp14:anchorId="13C9FB92" wp14:editId="73A6C65C">
            <wp:extent cx="6229350" cy="1971675"/>
            <wp:effectExtent l="19050" t="0" r="19050" b="0"/>
            <wp:docPr id="7" name="Diagram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14:paraId="285106B1" w14:textId="77777777" w:rsidR="00F314DC" w:rsidRPr="006C6C4F" w:rsidRDefault="00DC4F3C" w:rsidP="00F314DC">
      <w:pPr>
        <w:pStyle w:val="MBT"/>
        <w:rPr>
          <w:lang w:val="en-GB"/>
        </w:rPr>
      </w:pPr>
      <w:r w:rsidRPr="006C6C4F">
        <w:rPr>
          <w:lang w:val="en-GB"/>
        </w:rPr>
        <w:t>When carrying out their functions, these institutions collaborate with other state and local governance bodies and authorities.</w:t>
      </w:r>
      <w:r w:rsidR="003029C8" w:rsidRPr="006C6C4F">
        <w:rPr>
          <w:lang w:val="en-GB"/>
        </w:rPr>
        <w:t xml:space="preserve"> </w:t>
      </w:r>
      <w:r w:rsidR="00E00F9C" w:rsidRPr="006C6C4F">
        <w:rPr>
          <w:lang w:val="en-GB"/>
        </w:rPr>
        <w:t xml:space="preserve">In practice, there are also other </w:t>
      </w:r>
      <w:r w:rsidR="00F314DC" w:rsidRPr="006C6C4F">
        <w:rPr>
          <w:lang w:val="en-GB"/>
        </w:rPr>
        <w:t xml:space="preserve">institutions that </w:t>
      </w:r>
      <w:r w:rsidR="008F7FE6" w:rsidRPr="006C6C4F">
        <w:rPr>
          <w:lang w:val="en-GB"/>
        </w:rPr>
        <w:t xml:space="preserve">help </w:t>
      </w:r>
      <w:r w:rsidR="00F314DC" w:rsidRPr="006C6C4F">
        <w:rPr>
          <w:lang w:val="en-GB"/>
        </w:rPr>
        <w:t xml:space="preserve">implement </w:t>
      </w:r>
      <w:r w:rsidR="00736ED1" w:rsidRPr="006C6C4F">
        <w:rPr>
          <w:lang w:val="en-GB"/>
        </w:rPr>
        <w:t xml:space="preserve">and manage </w:t>
      </w:r>
      <w:r w:rsidR="008F7FE6" w:rsidRPr="006C6C4F">
        <w:rPr>
          <w:lang w:val="en-GB"/>
        </w:rPr>
        <w:t xml:space="preserve">migration policies </w:t>
      </w:r>
      <w:r w:rsidR="00903DB3" w:rsidRPr="006C6C4F">
        <w:rPr>
          <w:lang w:val="en-GB"/>
        </w:rPr>
        <w:t>more generally</w:t>
      </w:r>
      <w:r w:rsidR="00F314DC" w:rsidRPr="006C6C4F">
        <w:rPr>
          <w:lang w:val="en-GB"/>
        </w:rPr>
        <w:t>:</w:t>
      </w:r>
      <w:r w:rsidR="00F314DC" w:rsidRPr="004C4CE9">
        <w:rPr>
          <w:rStyle w:val="FootnoteReference"/>
          <w:rFonts w:eastAsia="MinionPro-Regular"/>
        </w:rPr>
        <w:footnoteReference w:id="27"/>
      </w:r>
    </w:p>
    <w:p w14:paraId="477A709E" w14:textId="77777777" w:rsidR="006F3233" w:rsidRPr="006C6C4F" w:rsidRDefault="00DF16DF" w:rsidP="00547627">
      <w:pPr>
        <w:pStyle w:val="MMultileveltable"/>
        <w:ind w:left="426"/>
      </w:pPr>
      <w:r>
        <w:rPr>
          <w:rFonts w:eastAsia="MinionPro-Regular"/>
          <w:b/>
        </w:rPr>
        <w:t xml:space="preserve">The </w:t>
      </w:r>
      <w:r w:rsidR="00F314DC" w:rsidRPr="006C6C4F">
        <w:rPr>
          <w:rFonts w:eastAsia="MinionPro-Regular"/>
          <w:b/>
        </w:rPr>
        <w:t xml:space="preserve">Ministry of the Interior </w:t>
      </w:r>
      <w:r w:rsidR="006F3233" w:rsidRPr="006C6C4F">
        <w:rPr>
          <w:rFonts w:eastAsia="MinionPro-Regular"/>
        </w:rPr>
        <w:t>is responsible for</w:t>
      </w:r>
      <w:r w:rsidR="006F3233" w:rsidRPr="006C6C4F">
        <w:rPr>
          <w:rFonts w:eastAsia="MinionPro-Regular"/>
          <w:b/>
        </w:rPr>
        <w:t xml:space="preserve"> </w:t>
      </w:r>
      <w:r w:rsidR="006F3233" w:rsidRPr="006C6C4F">
        <w:rPr>
          <w:rFonts w:eastAsia="MinionPro-Regular"/>
        </w:rPr>
        <w:t>formulating</w:t>
      </w:r>
      <w:r w:rsidR="006F3233" w:rsidRPr="006C6C4F">
        <w:rPr>
          <w:rFonts w:eastAsia="MinionPro-Regular"/>
          <w:b/>
        </w:rPr>
        <w:t xml:space="preserve"> </w:t>
      </w:r>
      <w:r w:rsidR="006F3233" w:rsidRPr="006C6C4F">
        <w:rPr>
          <w:rFonts w:eastAsia="MinionPro-Regular"/>
        </w:rPr>
        <w:t xml:space="preserve">migration </w:t>
      </w:r>
      <w:r w:rsidR="00F54DAE" w:rsidRPr="006C6C4F">
        <w:rPr>
          <w:rFonts w:eastAsia="MinionPro-Regular"/>
        </w:rPr>
        <w:t xml:space="preserve">policy </w:t>
      </w:r>
      <w:r w:rsidR="006F3233" w:rsidRPr="006C6C4F">
        <w:rPr>
          <w:rFonts w:eastAsia="MinionPro-Regular"/>
        </w:rPr>
        <w:t xml:space="preserve">related to public security. </w:t>
      </w:r>
    </w:p>
    <w:p w14:paraId="3F3F4B35" w14:textId="77777777" w:rsidR="00F314DC" w:rsidRPr="006C6C4F" w:rsidRDefault="00DF16DF" w:rsidP="00547627">
      <w:pPr>
        <w:pStyle w:val="MMultileveltable"/>
        <w:ind w:left="426"/>
        <w:rPr>
          <w:rFonts w:eastAsia="MinionPro-Regular"/>
        </w:rPr>
      </w:pPr>
      <w:r>
        <w:rPr>
          <w:b/>
        </w:rPr>
        <w:t xml:space="preserve">The </w:t>
      </w:r>
      <w:r w:rsidR="002C0FC7" w:rsidRPr="006C6C4F">
        <w:rPr>
          <w:b/>
        </w:rPr>
        <w:t xml:space="preserve">Ministry of Social Security and Labour </w:t>
      </w:r>
      <w:r w:rsidR="00CA69B7" w:rsidRPr="006C6C4F">
        <w:t xml:space="preserve">is responsible for work </w:t>
      </w:r>
      <w:r w:rsidR="00F54DAE" w:rsidRPr="006C6C4F">
        <w:t>policy</w:t>
      </w:r>
      <w:r w:rsidR="00CA69B7" w:rsidRPr="006C6C4F">
        <w:t xml:space="preserve"> in the economic migration field and issues work permits (via the Lithuanian Labour Exchange).</w:t>
      </w:r>
      <w:r w:rsidR="009B2AB8" w:rsidRPr="00DE4C72">
        <w:rPr>
          <w:rStyle w:val="FootnoteReference"/>
        </w:rPr>
        <w:footnoteReference w:id="28"/>
      </w:r>
      <w:r w:rsidR="00CA69B7" w:rsidRPr="006C6C4F">
        <w:t xml:space="preserve"> </w:t>
      </w:r>
    </w:p>
    <w:p w14:paraId="7A34FE53" w14:textId="77777777" w:rsidR="00F314DC" w:rsidRPr="006C6C4F" w:rsidRDefault="00DF16DF" w:rsidP="00547627">
      <w:pPr>
        <w:pStyle w:val="MMultileveltable"/>
        <w:ind w:left="426"/>
        <w:rPr>
          <w:rFonts w:eastAsia="MinionPro-Regular"/>
        </w:rPr>
      </w:pPr>
      <w:r>
        <w:rPr>
          <w:rFonts w:eastAsia="MinionPro-Regular"/>
          <w:b/>
        </w:rPr>
        <w:t xml:space="preserve">The </w:t>
      </w:r>
      <w:r w:rsidR="002371EC" w:rsidRPr="006C6C4F">
        <w:rPr>
          <w:rFonts w:eastAsia="MinionPro-Regular"/>
          <w:b/>
        </w:rPr>
        <w:t>Ministry of Foreign Affairs of the Republic of Lithuania</w:t>
      </w:r>
      <w:r w:rsidR="00F314DC" w:rsidRPr="006C6C4F">
        <w:rPr>
          <w:rFonts w:eastAsia="MinionPro-Regular"/>
          <w:b/>
        </w:rPr>
        <w:t xml:space="preserve"> </w:t>
      </w:r>
      <w:r w:rsidR="000607F9" w:rsidRPr="006C6C4F">
        <w:rPr>
          <w:rFonts w:eastAsia="MinionPro-Regular"/>
        </w:rPr>
        <w:t>takes part in</w:t>
      </w:r>
      <w:r w:rsidR="000607F9" w:rsidRPr="006C6C4F">
        <w:rPr>
          <w:rFonts w:eastAsia="MinionPro-Regular"/>
          <w:b/>
        </w:rPr>
        <w:t xml:space="preserve"> </w:t>
      </w:r>
      <w:r w:rsidR="000607F9" w:rsidRPr="006C6C4F">
        <w:rPr>
          <w:rFonts w:eastAsia="MinionPro-Regular"/>
        </w:rPr>
        <w:t>formulating and implementing vi</w:t>
      </w:r>
      <w:r w:rsidR="00F54DAE" w:rsidRPr="006C6C4F">
        <w:rPr>
          <w:rFonts w:eastAsia="MinionPro-Regular"/>
        </w:rPr>
        <w:t>sa policies</w:t>
      </w:r>
      <w:r w:rsidR="000607F9" w:rsidRPr="006C6C4F">
        <w:rPr>
          <w:rFonts w:eastAsia="MinionPro-Regular"/>
        </w:rPr>
        <w:t xml:space="preserve">, while Lithuanian diplomatic and consular agencies issue visas </w:t>
      </w:r>
      <w:r w:rsidR="00236FCB" w:rsidRPr="006C6C4F">
        <w:rPr>
          <w:rFonts w:eastAsia="MinionPro-Regular"/>
        </w:rPr>
        <w:t>and accept</w:t>
      </w:r>
      <w:r w:rsidR="000607F9" w:rsidRPr="006C6C4F">
        <w:rPr>
          <w:rFonts w:eastAsia="MinionPro-Regular"/>
        </w:rPr>
        <w:t xml:space="preserve"> applications for residence permits</w:t>
      </w:r>
      <w:r w:rsidR="00236FCB" w:rsidRPr="006C6C4F">
        <w:rPr>
          <w:rFonts w:eastAsia="MinionPro-Regular"/>
        </w:rPr>
        <w:t xml:space="preserve"> for foreigners outside Lithuania</w:t>
      </w:r>
      <w:r w:rsidR="000607F9" w:rsidRPr="006C6C4F">
        <w:rPr>
          <w:rFonts w:eastAsia="MinionPro-Regular"/>
        </w:rPr>
        <w:t xml:space="preserve">. </w:t>
      </w:r>
    </w:p>
    <w:p w14:paraId="5E0DC0B1" w14:textId="2D6A3BA6" w:rsidR="000607F9" w:rsidRPr="006C6C4F" w:rsidRDefault="00DF16DF" w:rsidP="00547627">
      <w:pPr>
        <w:pStyle w:val="MMultileveltable"/>
        <w:ind w:left="426"/>
        <w:rPr>
          <w:rFonts w:eastAsia="MinionPro-Regular"/>
        </w:rPr>
      </w:pPr>
      <w:r>
        <w:rPr>
          <w:rFonts w:eastAsia="MinionPro-Regular"/>
          <w:b/>
        </w:rPr>
        <w:t xml:space="preserve">The </w:t>
      </w:r>
      <w:r w:rsidR="000607F9" w:rsidRPr="006C6C4F">
        <w:rPr>
          <w:rFonts w:eastAsia="MinionPro-Regular"/>
          <w:b/>
        </w:rPr>
        <w:t>Ministry of Economy</w:t>
      </w:r>
      <w:r w:rsidR="000607F9" w:rsidRPr="006C6C4F">
        <w:rPr>
          <w:rFonts w:eastAsia="MinionPro-Regular"/>
        </w:rPr>
        <w:t xml:space="preserve"> is responsible, among other matters, for economic policy formulation, analysis of human resources in employment market and attracting investment into Lithuania</w:t>
      </w:r>
      <w:r w:rsidR="00455E28">
        <w:rPr>
          <w:rFonts w:eastAsia="MinionPro-Regular"/>
        </w:rPr>
        <w:t xml:space="preserve"> via e.g. </w:t>
      </w:r>
      <w:r w:rsidR="00AA4B3D">
        <w:rPr>
          <w:rFonts w:eastAsia="MinionPro-Regular"/>
        </w:rPr>
        <w:t>entrepreneurial schemes</w:t>
      </w:r>
      <w:r w:rsidR="000607F9" w:rsidRPr="006C6C4F">
        <w:rPr>
          <w:rFonts w:eastAsia="MinionPro-Regular"/>
        </w:rPr>
        <w:t>.</w:t>
      </w:r>
      <w:r w:rsidR="00F314DC" w:rsidRPr="006C6C4F">
        <w:rPr>
          <w:rFonts w:eastAsia="MinionPro-Regular"/>
          <w:b/>
        </w:rPr>
        <w:t xml:space="preserve"> </w:t>
      </w:r>
    </w:p>
    <w:p w14:paraId="50A640F5" w14:textId="77777777" w:rsidR="008E0BDF" w:rsidRPr="006C6C4F" w:rsidRDefault="00DF16DF" w:rsidP="00547627">
      <w:pPr>
        <w:pStyle w:val="MMultileveltable"/>
        <w:ind w:left="426"/>
        <w:rPr>
          <w:rFonts w:eastAsia="MinionPro-Regular"/>
        </w:rPr>
      </w:pPr>
      <w:r>
        <w:rPr>
          <w:rFonts w:eastAsia="MinionPro-Regular"/>
          <w:b/>
        </w:rPr>
        <w:t xml:space="preserve">The </w:t>
      </w:r>
      <w:r w:rsidR="008E0BDF" w:rsidRPr="006C6C4F">
        <w:rPr>
          <w:rFonts w:eastAsia="MinionPro-Regular"/>
          <w:b/>
        </w:rPr>
        <w:t xml:space="preserve">Department of Migration </w:t>
      </w:r>
      <w:r w:rsidR="008E0BDF" w:rsidRPr="006C6C4F">
        <w:rPr>
          <w:rFonts w:eastAsia="MinionPro-Regular"/>
        </w:rPr>
        <w:t>oversees the issuing of visas, residence permits and other documents for foreign nationals</w:t>
      </w:r>
      <w:r w:rsidR="00F314DC" w:rsidRPr="006C6C4F">
        <w:rPr>
          <w:rFonts w:eastAsia="MinionPro-Regular"/>
        </w:rPr>
        <w:t>.</w:t>
      </w:r>
      <w:r w:rsidR="006F3233" w:rsidRPr="006C6C4F">
        <w:rPr>
          <w:rFonts w:eastAsia="MinionPro-Regular"/>
        </w:rPr>
        <w:t xml:space="preserve"> </w:t>
      </w:r>
      <w:r w:rsidR="006F3233" w:rsidRPr="006C6C4F">
        <w:t xml:space="preserve">The Department was established </w:t>
      </w:r>
      <w:r w:rsidR="008E0BDF" w:rsidRPr="006C6C4F">
        <w:t xml:space="preserve">under the Ministry of the Interior </w:t>
      </w:r>
      <w:r w:rsidR="006F3233" w:rsidRPr="006C6C4F">
        <w:t>on 21 May 1992 by merging two divisions of the Ministry: the Emigration and Immigration Service with the Passport Board.</w:t>
      </w:r>
      <w:r w:rsidR="006F3233" w:rsidRPr="00DE4C72">
        <w:rPr>
          <w:rStyle w:val="FootnoteReference"/>
        </w:rPr>
        <w:footnoteReference w:id="29"/>
      </w:r>
      <w:r w:rsidR="002371EC" w:rsidRPr="006C6C4F">
        <w:t xml:space="preserve"> </w:t>
      </w:r>
      <w:r w:rsidR="00480DD8" w:rsidRPr="006C6C4F">
        <w:t>The main operational goal of the Migration Department is to ensure, within its competence, the implementation procedures of visa, immigration, asylum, and citizenship of the Republic of Lithuania, the issuance of the identity and citizenship confirmation documents, travel documents, permits of residence in the Republic of Lithuania and other documents and the implementation of the free movement of person’s principle.</w:t>
      </w:r>
      <w:r w:rsidR="00480DD8" w:rsidRPr="00DE4C72">
        <w:rPr>
          <w:rStyle w:val="FootnoteReference"/>
        </w:rPr>
        <w:footnoteReference w:id="30"/>
      </w:r>
    </w:p>
    <w:p w14:paraId="1516DE1C" w14:textId="77777777" w:rsidR="00F314DC" w:rsidRPr="006C6C4F" w:rsidRDefault="00F314DC" w:rsidP="00547627">
      <w:pPr>
        <w:pStyle w:val="MMultileveltable"/>
        <w:ind w:left="426"/>
        <w:rPr>
          <w:rFonts w:eastAsia="MinionPro-Regular"/>
        </w:rPr>
      </w:pPr>
      <w:r w:rsidRPr="006C6C4F">
        <w:rPr>
          <w:rFonts w:eastAsia="MinionPro-Regular"/>
          <w:b/>
        </w:rPr>
        <w:t>Migra</w:t>
      </w:r>
      <w:r w:rsidR="008E0BDF" w:rsidRPr="006C6C4F">
        <w:rPr>
          <w:rFonts w:eastAsia="MinionPro-Regular"/>
          <w:b/>
        </w:rPr>
        <w:t xml:space="preserve">tion offices </w:t>
      </w:r>
      <w:r w:rsidR="008E0BDF" w:rsidRPr="006C6C4F">
        <w:rPr>
          <w:rFonts w:eastAsia="MinionPro-Regular"/>
        </w:rPr>
        <w:t xml:space="preserve">are the key territorial </w:t>
      </w:r>
      <w:r w:rsidR="00673665" w:rsidRPr="006C6C4F">
        <w:rPr>
          <w:rFonts w:eastAsia="MinionPro-Regular"/>
        </w:rPr>
        <w:t>units</w:t>
      </w:r>
      <w:r w:rsidR="008E0BDF" w:rsidRPr="006C6C4F">
        <w:rPr>
          <w:rFonts w:eastAsia="MinionPro-Regular"/>
        </w:rPr>
        <w:t xml:space="preserve"> that issue residence permits and carry out the checks on foreigners’ </w:t>
      </w:r>
      <w:r w:rsidR="008F7FE6" w:rsidRPr="006C6C4F">
        <w:rPr>
          <w:rFonts w:eastAsia="MinionPro-Regular"/>
        </w:rPr>
        <w:t xml:space="preserve">continued </w:t>
      </w:r>
      <w:r w:rsidR="008E0BDF" w:rsidRPr="006C6C4F">
        <w:rPr>
          <w:rFonts w:eastAsia="MinionPro-Regular"/>
        </w:rPr>
        <w:t xml:space="preserve">rights to reside in Lithuania. </w:t>
      </w:r>
      <w:r w:rsidR="00673665" w:rsidRPr="006C6C4F">
        <w:rPr>
          <w:rFonts w:eastAsia="MinionPro-Regular"/>
        </w:rPr>
        <w:t xml:space="preserve">The activities of migration offices </w:t>
      </w:r>
      <w:r w:rsidR="008F7FE6" w:rsidRPr="006C6C4F">
        <w:rPr>
          <w:rFonts w:eastAsia="MinionPro-Regular"/>
        </w:rPr>
        <w:t>are</w:t>
      </w:r>
      <w:r w:rsidR="00673665" w:rsidRPr="006C6C4F">
        <w:rPr>
          <w:rFonts w:eastAsia="MinionPro-Regular"/>
        </w:rPr>
        <w:t xml:space="preserve"> controlled by the Police Department</w:t>
      </w:r>
      <w:r w:rsidRPr="006C6C4F">
        <w:rPr>
          <w:rFonts w:eastAsia="MinionPro-Regular"/>
        </w:rPr>
        <w:t>.</w:t>
      </w:r>
      <w:r w:rsidR="00673665" w:rsidRPr="006C6C4F">
        <w:rPr>
          <w:rFonts w:eastAsia="MinionPro-Regular"/>
        </w:rPr>
        <w:t xml:space="preserve"> </w:t>
      </w:r>
    </w:p>
    <w:p w14:paraId="29538940" w14:textId="77777777" w:rsidR="00947A64" w:rsidRPr="006C6C4F" w:rsidRDefault="00363832" w:rsidP="00547627">
      <w:pPr>
        <w:pStyle w:val="MMultileveltable"/>
        <w:ind w:left="426"/>
        <w:rPr>
          <w:rFonts w:eastAsia="MinionPro-Regular"/>
        </w:rPr>
      </w:pPr>
      <w:r w:rsidRPr="006C6C4F">
        <w:rPr>
          <w:rFonts w:eastAsia="MinionPro-Regular"/>
          <w:b/>
        </w:rPr>
        <w:t>Diplomatic missions and consular posts</w:t>
      </w:r>
      <w:r w:rsidR="00BD617B" w:rsidRPr="006C6C4F">
        <w:rPr>
          <w:rFonts w:eastAsia="MinionPro-Regular"/>
        </w:rPr>
        <w:t>:</w:t>
      </w:r>
      <w:r w:rsidR="00947A64" w:rsidRPr="006C6C4F">
        <w:rPr>
          <w:rFonts w:eastAsia="MinionPro-Regular"/>
        </w:rPr>
        <w:t xml:space="preserve"> they perform the functions of migration offices </w:t>
      </w:r>
      <w:r w:rsidR="00C779FD" w:rsidRPr="006C6C4F">
        <w:rPr>
          <w:rFonts w:eastAsia="MinionPro-Regular"/>
        </w:rPr>
        <w:t xml:space="preserve">(receiving TRP initial applications, communicating decisions) </w:t>
      </w:r>
      <w:r w:rsidR="00947A64" w:rsidRPr="006C6C4F">
        <w:rPr>
          <w:rFonts w:eastAsia="MinionPro-Regular"/>
        </w:rPr>
        <w:t>for foreigners who are abroad.</w:t>
      </w:r>
    </w:p>
    <w:p w14:paraId="04C5351E" w14:textId="77777777" w:rsidR="00736ED1" w:rsidRPr="006C6C4F" w:rsidRDefault="00736ED1" w:rsidP="00F314DC">
      <w:pPr>
        <w:pStyle w:val="MBT"/>
        <w:rPr>
          <w:rFonts w:eastAsia="MinionPro-Regular"/>
          <w:lang w:val="en-GB" w:eastAsia="en-GB"/>
        </w:rPr>
      </w:pPr>
    </w:p>
    <w:p w14:paraId="1C9383B6" w14:textId="262003D5" w:rsidR="00C72F02" w:rsidRPr="006C6C4F" w:rsidRDefault="00DF16DF" w:rsidP="007E4F06">
      <w:pPr>
        <w:pStyle w:val="MBT"/>
        <w:rPr>
          <w:lang w:val="en-GB"/>
        </w:rPr>
      </w:pPr>
      <w:bookmarkStart w:id="5" w:name="_Hlk517130774"/>
      <w:r>
        <w:rPr>
          <w:lang w:val="en-GB"/>
        </w:rPr>
        <w:t>T</w:t>
      </w:r>
      <w:r w:rsidRPr="006C6C4F">
        <w:rPr>
          <w:lang w:val="en-GB"/>
        </w:rPr>
        <w:t xml:space="preserve">he Ministry of the Interior and the Migration Department </w:t>
      </w:r>
      <w:r>
        <w:rPr>
          <w:lang w:val="en-GB"/>
        </w:rPr>
        <w:t>t</w:t>
      </w:r>
      <w:r w:rsidR="004C563C" w:rsidRPr="006C6C4F">
        <w:rPr>
          <w:lang w:val="en-GB"/>
        </w:rPr>
        <w:t>herefore</w:t>
      </w:r>
      <w:r>
        <w:rPr>
          <w:lang w:val="en-GB"/>
        </w:rPr>
        <w:t xml:space="preserve"> hold the most important</w:t>
      </w:r>
      <w:r w:rsidR="004C563C" w:rsidRPr="006C6C4F">
        <w:rPr>
          <w:lang w:val="en-GB"/>
        </w:rPr>
        <w:t xml:space="preserve"> role in formulating and implementing migration politics and attracting foreign investors.</w:t>
      </w:r>
      <w:r w:rsidR="00DC1FB7" w:rsidRPr="006C6C4F">
        <w:rPr>
          <w:lang w:val="en-GB"/>
        </w:rPr>
        <w:t xml:space="preserve"> </w:t>
      </w:r>
      <w:r w:rsidR="00F827CB" w:rsidRPr="00AE78BA">
        <w:t>These bodies responsible for migration do not focus on the business perspective and the focus is rather on security</w:t>
      </w:r>
      <w:r w:rsidR="00455E28">
        <w:t>.</w:t>
      </w:r>
      <w:r w:rsidR="00534BA0">
        <w:rPr>
          <w:lang w:val="en-GB"/>
        </w:rPr>
        <w:t xml:space="preserve"> </w:t>
      </w:r>
    </w:p>
    <w:p w14:paraId="7E5E2F69" w14:textId="23913712" w:rsidR="00AC2EEB" w:rsidRPr="006C6C4F" w:rsidRDefault="00AC2EEB" w:rsidP="00613C2F">
      <w:pPr>
        <w:pStyle w:val="MH1nonumb"/>
        <w:numPr>
          <w:ilvl w:val="0"/>
          <w:numId w:val="10"/>
        </w:numPr>
        <w:ind w:left="426" w:hanging="284"/>
      </w:pPr>
      <w:bookmarkStart w:id="6" w:name="_Toc496025533"/>
      <w:bookmarkStart w:id="7" w:name="_Toc496124920"/>
      <w:bookmarkStart w:id="8" w:name="_Toc522130157"/>
      <w:bookmarkEnd w:id="5"/>
      <w:r w:rsidRPr="006C6C4F">
        <w:lastRenderedPageBreak/>
        <w:t>PROCEDURES, COMPETENT AUTHORITIES AND APPLICABLE CRITERIA</w:t>
      </w:r>
      <w:bookmarkEnd w:id="6"/>
      <w:bookmarkEnd w:id="7"/>
      <w:bookmarkEnd w:id="8"/>
    </w:p>
    <w:p w14:paraId="7E4DC8AD" w14:textId="77777777" w:rsidR="00AC2EEB" w:rsidRPr="006C6C4F" w:rsidRDefault="00AC2EEB" w:rsidP="001C1E15">
      <w:pPr>
        <w:pStyle w:val="MH1"/>
        <w:pageBreakBefore w:val="0"/>
        <w:ind w:left="431" w:hanging="431"/>
      </w:pPr>
      <w:bookmarkStart w:id="9" w:name="_Toc496025534"/>
      <w:bookmarkStart w:id="10" w:name="_Toc496124921"/>
      <w:bookmarkStart w:id="11" w:name="_Toc522130158"/>
      <w:r w:rsidRPr="006C6C4F">
        <w:t>Application Phase</w:t>
      </w:r>
      <w:bookmarkEnd w:id="9"/>
      <w:bookmarkEnd w:id="10"/>
      <w:bookmarkEnd w:id="11"/>
    </w:p>
    <w:p w14:paraId="091886AB" w14:textId="325B5975" w:rsidR="006E126B" w:rsidRPr="006C6C4F" w:rsidRDefault="00213B4C" w:rsidP="00B311A7">
      <w:pPr>
        <w:pStyle w:val="MBT"/>
        <w:rPr>
          <w:lang w:val="en-GB"/>
        </w:rPr>
      </w:pPr>
      <w:r w:rsidRPr="006C6C4F">
        <w:rPr>
          <w:lang w:val="en-GB"/>
        </w:rPr>
        <w:t>The procedure</w:t>
      </w:r>
      <w:r w:rsidR="00887891">
        <w:rPr>
          <w:lang w:val="en-GB"/>
        </w:rPr>
        <w:t xml:space="preserve"> for the</w:t>
      </w:r>
      <w:r w:rsidR="006654DB">
        <w:rPr>
          <w:lang w:val="en-GB"/>
        </w:rPr>
        <w:t xml:space="preserve"> Lithuanian</w:t>
      </w:r>
      <w:r w:rsidR="00887891">
        <w:rPr>
          <w:lang w:val="en-GB"/>
        </w:rPr>
        <w:t xml:space="preserve"> </w:t>
      </w:r>
      <w:r w:rsidR="00001FA1">
        <w:rPr>
          <w:bCs w:val="0"/>
        </w:rPr>
        <w:t>temporary residence</w:t>
      </w:r>
      <w:r w:rsidRPr="006C6C4F">
        <w:rPr>
          <w:lang w:val="en-GB"/>
        </w:rPr>
        <w:t xml:space="preserve"> </w:t>
      </w:r>
      <w:r w:rsidR="006E126B" w:rsidRPr="006C6C4F">
        <w:rPr>
          <w:lang w:val="en-GB"/>
        </w:rPr>
        <w:t>is regulated by the</w:t>
      </w:r>
      <w:r w:rsidR="00003AEF" w:rsidRPr="006C6C4F">
        <w:rPr>
          <w:lang w:val="en-GB"/>
        </w:rPr>
        <w:t xml:space="preserve"> LLSA and is further detailed in the</w:t>
      </w:r>
      <w:r w:rsidR="006E126B" w:rsidRPr="006C6C4F">
        <w:rPr>
          <w:lang w:val="en-GB"/>
        </w:rPr>
        <w:t xml:space="preserve"> </w:t>
      </w:r>
      <w:r w:rsidR="00B40E4F">
        <w:rPr>
          <w:lang w:val="en-GB"/>
        </w:rPr>
        <w:t>O</w:t>
      </w:r>
      <w:r w:rsidR="00114D9C" w:rsidRPr="006C6C4F">
        <w:rPr>
          <w:lang w:val="en-GB"/>
        </w:rPr>
        <w:t>rder o</w:t>
      </w:r>
      <w:r w:rsidR="00361139" w:rsidRPr="006C6C4F">
        <w:rPr>
          <w:lang w:val="en-GB"/>
        </w:rPr>
        <w:t>f the Minister of the Interior ‘</w:t>
      </w:r>
      <w:r w:rsidR="00114D9C" w:rsidRPr="006C6C4F">
        <w:rPr>
          <w:lang w:val="en-GB"/>
        </w:rPr>
        <w:t xml:space="preserve">On the Approval of the rules on the issue of </w:t>
      </w:r>
      <w:r w:rsidR="00A66B39">
        <w:rPr>
          <w:lang w:val="en-GB"/>
        </w:rPr>
        <w:t>TRPs</w:t>
      </w:r>
      <w:r w:rsidR="00114D9C" w:rsidRPr="006C6C4F">
        <w:rPr>
          <w:lang w:val="en-GB"/>
        </w:rPr>
        <w:t xml:space="preserve"> for aliens in the Republic of Lithuania and the rules for the identification of marriages of conveniences, registered partnerships, and fictitious ad</w:t>
      </w:r>
      <w:r w:rsidR="00361139" w:rsidRPr="006C6C4F">
        <w:rPr>
          <w:lang w:val="en-GB"/>
        </w:rPr>
        <w:t>options’</w:t>
      </w:r>
      <w:r w:rsidR="00114D9C" w:rsidRPr="006C6C4F">
        <w:rPr>
          <w:lang w:val="en-GB"/>
        </w:rPr>
        <w:t xml:space="preserve"> (here</w:t>
      </w:r>
      <w:r w:rsidR="00887891">
        <w:rPr>
          <w:lang w:val="en-GB"/>
        </w:rPr>
        <w:t>in</w:t>
      </w:r>
      <w:r w:rsidR="00114D9C" w:rsidRPr="006C6C4F">
        <w:rPr>
          <w:lang w:val="en-GB"/>
        </w:rPr>
        <w:t>after the TRP Rules).</w:t>
      </w:r>
      <w:r w:rsidR="00114D9C" w:rsidRPr="00505A7A">
        <w:rPr>
          <w:rStyle w:val="FootnoteReference"/>
        </w:rPr>
        <w:footnoteReference w:id="31"/>
      </w:r>
    </w:p>
    <w:p w14:paraId="0CF2FE4E" w14:textId="1977424E" w:rsidR="001C1E15" w:rsidRDefault="001C1E15" w:rsidP="00B311A7">
      <w:pPr>
        <w:pStyle w:val="MBT"/>
        <w:rPr>
          <w:lang w:val="en-GB"/>
        </w:rPr>
      </w:pPr>
    </w:p>
    <w:p w14:paraId="0F376203" w14:textId="77777777" w:rsidR="00E178B3" w:rsidRPr="006C6C4F" w:rsidRDefault="00E178B3" w:rsidP="00B311A7">
      <w:pPr>
        <w:pStyle w:val="MBT"/>
        <w:rPr>
          <w:lang w:val="en-GB"/>
        </w:rPr>
      </w:pPr>
    </w:p>
    <w:p w14:paraId="6112A1F1" w14:textId="77777777" w:rsidR="00B311A7" w:rsidRPr="006C6C4F" w:rsidRDefault="00B311A7" w:rsidP="0001799A">
      <w:pPr>
        <w:pStyle w:val="MH2"/>
        <w:outlineLvl w:val="9"/>
      </w:pPr>
      <w:r w:rsidRPr="006C6C4F">
        <w:t>Procedures</w:t>
      </w:r>
    </w:p>
    <w:p w14:paraId="22DB8FD1" w14:textId="77777777" w:rsidR="00F81F13" w:rsidRPr="006C6C4F" w:rsidRDefault="00F81F13" w:rsidP="00BD2F76">
      <w:pPr>
        <w:pStyle w:val="MMultileveltable"/>
        <w:ind w:left="426"/>
        <w:rPr>
          <w:b/>
          <w:i/>
        </w:rPr>
      </w:pPr>
      <w:r w:rsidRPr="006C6C4F">
        <w:rPr>
          <w:b/>
          <w:i/>
        </w:rPr>
        <w:t>W</w:t>
      </w:r>
      <w:r w:rsidR="00B311A7" w:rsidRPr="006C6C4F">
        <w:rPr>
          <w:b/>
          <w:i/>
        </w:rPr>
        <w:t xml:space="preserve">ho can apply for a residence permit </w:t>
      </w:r>
    </w:p>
    <w:p w14:paraId="5C2902AA" w14:textId="77777777" w:rsidR="00F81F13" w:rsidRPr="006C6C4F" w:rsidRDefault="00F81F13" w:rsidP="00F81F13">
      <w:pPr>
        <w:pStyle w:val="MMultilevel"/>
        <w:rPr>
          <w:i/>
          <w:lang w:val="en-GB"/>
        </w:rPr>
      </w:pPr>
    </w:p>
    <w:p w14:paraId="2C582760" w14:textId="659BACC8" w:rsidR="00196DC7" w:rsidRDefault="004A7965" w:rsidP="00F81F13">
      <w:pPr>
        <w:pStyle w:val="MMultilevel"/>
        <w:rPr>
          <w:lang w:val="en-GB"/>
        </w:rPr>
      </w:pPr>
      <w:r w:rsidRPr="006C6C4F">
        <w:rPr>
          <w:lang w:val="en-GB"/>
        </w:rPr>
        <w:t>In Lithuania,</w:t>
      </w:r>
      <w:r w:rsidR="00196DC7" w:rsidRPr="006C6C4F">
        <w:rPr>
          <w:lang w:val="en-GB"/>
        </w:rPr>
        <w:t xml:space="preserve"> foreign investors and their family members are granted temporary residence in the country if they are carrying o</w:t>
      </w:r>
      <w:r w:rsidR="00887891">
        <w:rPr>
          <w:lang w:val="en-GB"/>
        </w:rPr>
        <w:t>ut</w:t>
      </w:r>
      <w:r w:rsidR="00196DC7" w:rsidRPr="006C6C4F">
        <w:rPr>
          <w:lang w:val="en-GB"/>
        </w:rPr>
        <w:t xml:space="preserve"> </w:t>
      </w:r>
      <w:r w:rsidR="00887891">
        <w:rPr>
          <w:lang w:val="en-GB"/>
        </w:rPr>
        <w:t>a</w:t>
      </w:r>
      <w:r w:rsidR="00887891" w:rsidRPr="006C6C4F">
        <w:rPr>
          <w:lang w:val="en-GB"/>
        </w:rPr>
        <w:t xml:space="preserve"> </w:t>
      </w:r>
      <w:r w:rsidR="00196DC7" w:rsidRPr="006C6C4F">
        <w:rPr>
          <w:lang w:val="en-GB"/>
        </w:rPr>
        <w:t>lawful (business) activity in Lithuania – they must leave whe</w:t>
      </w:r>
      <w:r w:rsidR="00CA1BAE" w:rsidRPr="006C6C4F">
        <w:rPr>
          <w:lang w:val="en-GB"/>
        </w:rPr>
        <w:t>n such activity ceases</w:t>
      </w:r>
      <w:r w:rsidR="00196DC7" w:rsidRPr="006C6C4F">
        <w:rPr>
          <w:lang w:val="en-GB"/>
        </w:rPr>
        <w:t>.</w:t>
      </w:r>
      <w:r w:rsidR="00CA1BAE" w:rsidRPr="00505A7A">
        <w:rPr>
          <w:rStyle w:val="FootnoteReference"/>
        </w:rPr>
        <w:footnoteReference w:id="32"/>
      </w:r>
      <w:r w:rsidR="00196DC7" w:rsidRPr="006C6C4F">
        <w:rPr>
          <w:lang w:val="en-GB"/>
        </w:rPr>
        <w:t xml:space="preserve"> </w:t>
      </w:r>
      <w:r w:rsidR="00E049B7">
        <w:rPr>
          <w:lang w:val="en-GB"/>
        </w:rPr>
        <w:t>As explained in Section I, it is a requirement that the foreign investor:</w:t>
      </w:r>
    </w:p>
    <w:p w14:paraId="20405385" w14:textId="52560422" w:rsidR="00E049B7" w:rsidRDefault="00E049B7" w:rsidP="00547627">
      <w:pPr>
        <w:pStyle w:val="MMultileveltable"/>
        <w:ind w:left="426"/>
      </w:pPr>
      <w:r>
        <w:t>Meets the investment requirements; and</w:t>
      </w:r>
    </w:p>
    <w:p w14:paraId="48E97567" w14:textId="7583A37C" w:rsidR="00E049B7" w:rsidRPr="006C6C4F" w:rsidRDefault="00E049B7" w:rsidP="00547627">
      <w:pPr>
        <w:pStyle w:val="MMultileveltable"/>
        <w:ind w:left="426"/>
      </w:pPr>
      <w:r>
        <w:t>Actively participates in the company (regardless of whether as an owner, shareholder or manager)</w:t>
      </w:r>
    </w:p>
    <w:p w14:paraId="4CEB4BC4" w14:textId="77777777" w:rsidR="00196DC7" w:rsidRPr="006C6C4F" w:rsidRDefault="00196DC7" w:rsidP="00F81F13">
      <w:pPr>
        <w:pStyle w:val="MMultilevel"/>
        <w:rPr>
          <w:lang w:val="en-GB"/>
        </w:rPr>
      </w:pPr>
    </w:p>
    <w:p w14:paraId="6BD7E152" w14:textId="77777777" w:rsidR="00F81F13" w:rsidRPr="006C6C4F" w:rsidRDefault="00F81F13" w:rsidP="00BD2F76">
      <w:pPr>
        <w:pStyle w:val="MMultileveltable"/>
        <w:ind w:left="426"/>
        <w:rPr>
          <w:b/>
          <w:i/>
        </w:rPr>
      </w:pPr>
      <w:r w:rsidRPr="006C6C4F">
        <w:rPr>
          <w:b/>
          <w:i/>
        </w:rPr>
        <w:t>Procedural stages</w:t>
      </w:r>
    </w:p>
    <w:p w14:paraId="53EBEB1E" w14:textId="77777777" w:rsidR="00F81F13" w:rsidRPr="006C6C4F" w:rsidRDefault="00F81F13" w:rsidP="00736ED1"/>
    <w:p w14:paraId="1CA7C022" w14:textId="19AD0FAC" w:rsidR="00F81D8B" w:rsidRPr="006C6C4F" w:rsidRDefault="00114D9C" w:rsidP="00F54A2D">
      <w:pPr>
        <w:pStyle w:val="MMultilevel"/>
        <w:numPr>
          <w:ilvl w:val="0"/>
          <w:numId w:val="15"/>
        </w:numPr>
        <w:rPr>
          <w:b/>
          <w:lang w:val="en-GB"/>
        </w:rPr>
      </w:pPr>
      <w:r w:rsidRPr="006C6C4F">
        <w:rPr>
          <w:b/>
          <w:lang w:val="en-GB"/>
        </w:rPr>
        <w:t>Lodging of an application for issue/renewal of a TRP</w:t>
      </w:r>
      <w:r w:rsidR="00566441" w:rsidRPr="006C6C4F">
        <w:rPr>
          <w:b/>
          <w:lang w:val="en-GB"/>
        </w:rPr>
        <w:t xml:space="preserve">: Articles </w:t>
      </w:r>
      <w:r w:rsidR="00342AEE" w:rsidRPr="006C6C4F">
        <w:rPr>
          <w:b/>
          <w:lang w:val="en-GB"/>
        </w:rPr>
        <w:t>6-</w:t>
      </w:r>
      <w:r w:rsidR="00CB6104" w:rsidRPr="006C6C4F">
        <w:rPr>
          <w:b/>
          <w:lang w:val="en-GB"/>
        </w:rPr>
        <w:t>53</w:t>
      </w:r>
      <w:r w:rsidR="00937CFD" w:rsidRPr="006C6C4F">
        <w:rPr>
          <w:b/>
          <w:lang w:val="en-GB"/>
        </w:rPr>
        <w:t xml:space="preserve"> </w:t>
      </w:r>
      <w:r w:rsidR="00566441" w:rsidRPr="006C6C4F">
        <w:rPr>
          <w:b/>
          <w:lang w:val="en-GB"/>
        </w:rPr>
        <w:t>TRP Rules</w:t>
      </w:r>
    </w:p>
    <w:p w14:paraId="6A8290D8" w14:textId="77777777" w:rsidR="00160013" w:rsidRPr="006C6C4F" w:rsidRDefault="00160013" w:rsidP="00AF30CA">
      <w:pPr>
        <w:pStyle w:val="MMultilevel"/>
        <w:rPr>
          <w:lang w:val="en-GB"/>
        </w:rPr>
      </w:pPr>
    </w:p>
    <w:p w14:paraId="2DFBAD06" w14:textId="42400A4B" w:rsidR="00771A12" w:rsidRDefault="00771A12" w:rsidP="00AF30CA">
      <w:pPr>
        <w:pStyle w:val="MMultilevel"/>
        <w:rPr>
          <w:lang w:val="en-GB"/>
        </w:rPr>
      </w:pPr>
      <w:r w:rsidRPr="006C6C4F">
        <w:rPr>
          <w:lang w:val="en-GB"/>
        </w:rPr>
        <w:t>A</w:t>
      </w:r>
      <w:r w:rsidR="00761918" w:rsidRPr="006C6C4F">
        <w:rPr>
          <w:lang w:val="en-GB"/>
        </w:rPr>
        <w:t>s a general rule,</w:t>
      </w:r>
      <w:r w:rsidRPr="006C6C4F">
        <w:rPr>
          <w:lang w:val="en-GB"/>
        </w:rPr>
        <w:t xml:space="preserve"> foreigner </w:t>
      </w:r>
      <w:r w:rsidR="00361383" w:rsidRPr="006C6C4F">
        <w:rPr>
          <w:lang w:val="en-GB"/>
        </w:rPr>
        <w:t>who</w:t>
      </w:r>
      <w:r w:rsidRPr="006C6C4F">
        <w:rPr>
          <w:lang w:val="en-GB"/>
        </w:rPr>
        <w:t xml:space="preserve"> applies for a TRP for the first time </w:t>
      </w:r>
      <w:r w:rsidR="00D166BF" w:rsidRPr="006C6C4F">
        <w:rPr>
          <w:lang w:val="en-GB"/>
        </w:rPr>
        <w:t xml:space="preserve">or for its renewal </w:t>
      </w:r>
      <w:r w:rsidRPr="006C6C4F">
        <w:rPr>
          <w:lang w:val="en-GB"/>
        </w:rPr>
        <w:t>and legally resides in Lithuania, must file the application with the migration office of the (declared or intended) place of residence in Lithuania.</w:t>
      </w:r>
      <w:r w:rsidRPr="00505A7A">
        <w:rPr>
          <w:rStyle w:val="FootnoteReference"/>
        </w:rPr>
        <w:footnoteReference w:id="33"/>
      </w:r>
      <w:r w:rsidRPr="006C6C4F">
        <w:rPr>
          <w:lang w:val="en-GB"/>
        </w:rPr>
        <w:t xml:space="preserve"> However, there are special rules that apply for foreign investors:</w:t>
      </w:r>
    </w:p>
    <w:p w14:paraId="2B299101" w14:textId="77777777" w:rsidR="00771A12" w:rsidRPr="00CE7414" w:rsidRDefault="00771A12" w:rsidP="00547627">
      <w:pPr>
        <w:pStyle w:val="MMultileveltable"/>
        <w:ind w:left="426"/>
      </w:pPr>
      <w:r w:rsidRPr="00CE7414">
        <w:t>Those legally residing in Lithuania must file the application with the Migration Department.</w:t>
      </w:r>
      <w:r w:rsidR="00E80735" w:rsidRPr="00DE4C72">
        <w:rPr>
          <w:rStyle w:val="FootnoteReference"/>
        </w:rPr>
        <w:footnoteReference w:id="34"/>
      </w:r>
    </w:p>
    <w:p w14:paraId="74AC9453" w14:textId="77777777" w:rsidR="00771A12" w:rsidRPr="00CE7414" w:rsidRDefault="00771A12" w:rsidP="00547627">
      <w:pPr>
        <w:pStyle w:val="MMultileveltable"/>
        <w:ind w:left="426"/>
      </w:pPr>
      <w:r w:rsidRPr="00CE7414">
        <w:t xml:space="preserve">Their family members can also apply directly with the Migration Department (if </w:t>
      </w:r>
      <w:r w:rsidR="00887891" w:rsidRPr="00CE7414">
        <w:t xml:space="preserve">they </w:t>
      </w:r>
      <w:r w:rsidRPr="00CE7414">
        <w:t>arrive together</w:t>
      </w:r>
      <w:r w:rsidR="00887891" w:rsidRPr="00CE7414">
        <w:t xml:space="preserve"> with the foreign investor</w:t>
      </w:r>
      <w:r w:rsidRPr="00CE7414">
        <w:t xml:space="preserve">) or have a choice between the Migration Department and the local migration office (if </w:t>
      </w:r>
      <w:r w:rsidR="00887891" w:rsidRPr="00CE7414">
        <w:t xml:space="preserve">they </w:t>
      </w:r>
      <w:r w:rsidRPr="00CE7414">
        <w:t>arrive later).</w:t>
      </w:r>
      <w:r w:rsidR="008C46F6" w:rsidRPr="00DE4C72">
        <w:rPr>
          <w:rStyle w:val="FootnoteReference"/>
        </w:rPr>
        <w:footnoteReference w:id="35"/>
      </w:r>
    </w:p>
    <w:p w14:paraId="1BC32080" w14:textId="77777777" w:rsidR="00771A12" w:rsidRPr="006C6C4F" w:rsidRDefault="00771A12" w:rsidP="00AF30CA">
      <w:pPr>
        <w:pStyle w:val="MMultilevel"/>
        <w:rPr>
          <w:lang w:val="en-GB"/>
        </w:rPr>
      </w:pPr>
    </w:p>
    <w:p w14:paraId="27C29B27" w14:textId="4F9930ED" w:rsidR="004A7965" w:rsidRPr="006C6C4F" w:rsidRDefault="008428AF" w:rsidP="00AF30CA">
      <w:pPr>
        <w:pStyle w:val="MMultilevel"/>
        <w:rPr>
          <w:lang w:val="en-GB"/>
        </w:rPr>
      </w:pPr>
      <w:r w:rsidRPr="006C6C4F">
        <w:rPr>
          <w:lang w:val="en-GB"/>
        </w:rPr>
        <w:t>The application must be filed in person</w:t>
      </w:r>
      <w:r w:rsidRPr="00505A7A">
        <w:rPr>
          <w:rStyle w:val="FootnoteReference"/>
        </w:rPr>
        <w:footnoteReference w:id="36"/>
      </w:r>
      <w:r w:rsidR="009005B0" w:rsidRPr="006C6C4F">
        <w:rPr>
          <w:lang w:val="en-GB"/>
        </w:rPr>
        <w:t xml:space="preserve"> or </w:t>
      </w:r>
      <w:r w:rsidR="00887891">
        <w:rPr>
          <w:lang w:val="en-GB"/>
        </w:rPr>
        <w:t>through</w:t>
      </w:r>
      <w:r w:rsidR="00887891" w:rsidRPr="006C6C4F">
        <w:rPr>
          <w:lang w:val="en-GB"/>
        </w:rPr>
        <w:t xml:space="preserve"> </w:t>
      </w:r>
      <w:r w:rsidR="009005B0" w:rsidRPr="006C6C4F">
        <w:rPr>
          <w:lang w:val="en-GB"/>
        </w:rPr>
        <w:t>a lawyer</w:t>
      </w:r>
      <w:r w:rsidR="00887891">
        <w:rPr>
          <w:lang w:val="en-GB"/>
        </w:rPr>
        <w:t>.</w:t>
      </w:r>
      <w:r w:rsidR="009005B0" w:rsidRPr="00505A7A">
        <w:rPr>
          <w:rStyle w:val="FootnoteReference"/>
        </w:rPr>
        <w:footnoteReference w:id="37"/>
      </w:r>
      <w:r w:rsidR="00887891">
        <w:rPr>
          <w:lang w:val="en-GB"/>
        </w:rPr>
        <w:t xml:space="preserve"> T</w:t>
      </w:r>
      <w:r w:rsidR="004E2FBF" w:rsidRPr="006C6C4F">
        <w:rPr>
          <w:lang w:val="en-GB"/>
        </w:rPr>
        <w:t xml:space="preserve">here is a set </w:t>
      </w:r>
      <w:r w:rsidR="00726E19" w:rsidRPr="006C6C4F">
        <w:rPr>
          <w:lang w:val="en-GB"/>
        </w:rPr>
        <w:t xml:space="preserve">state </w:t>
      </w:r>
      <w:r w:rsidR="004E2FBF" w:rsidRPr="006C6C4F">
        <w:rPr>
          <w:lang w:val="en-GB"/>
        </w:rPr>
        <w:t>fee to be paid</w:t>
      </w:r>
      <w:r w:rsidR="00F930F5" w:rsidRPr="006C6C4F">
        <w:rPr>
          <w:lang w:val="en-GB"/>
        </w:rPr>
        <w:t>, depending</w:t>
      </w:r>
      <w:r w:rsidR="00887891">
        <w:rPr>
          <w:lang w:val="en-GB"/>
        </w:rPr>
        <w:t xml:space="preserve"> on</w:t>
      </w:r>
      <w:r w:rsidR="00F930F5" w:rsidRPr="006C6C4F">
        <w:rPr>
          <w:lang w:val="en-GB"/>
        </w:rPr>
        <w:t xml:space="preserve"> whether it is an ordinary or urgent application</w:t>
      </w:r>
      <w:r w:rsidR="004E2FBF" w:rsidRPr="006C6C4F">
        <w:rPr>
          <w:lang w:val="en-GB"/>
        </w:rPr>
        <w:t>.</w:t>
      </w:r>
      <w:r w:rsidR="00726E19" w:rsidRPr="00505A7A">
        <w:rPr>
          <w:rStyle w:val="FootnoteReference"/>
        </w:rPr>
        <w:footnoteReference w:id="38"/>
      </w:r>
    </w:p>
    <w:p w14:paraId="6FC6FA09" w14:textId="77777777" w:rsidR="004A7965" w:rsidRPr="006C6C4F" w:rsidRDefault="004A7965" w:rsidP="00AF30CA">
      <w:pPr>
        <w:pStyle w:val="MMultilevel"/>
        <w:rPr>
          <w:lang w:val="en-GB"/>
        </w:rPr>
      </w:pPr>
    </w:p>
    <w:p w14:paraId="3F73276D" w14:textId="35EDCFC4" w:rsidR="008940E2" w:rsidRPr="006C6C4F" w:rsidRDefault="00F930F5" w:rsidP="00AF30CA">
      <w:pPr>
        <w:pStyle w:val="MMultilevel"/>
        <w:rPr>
          <w:lang w:val="en-GB"/>
        </w:rPr>
      </w:pPr>
      <w:r w:rsidRPr="006C6C4F">
        <w:rPr>
          <w:lang w:val="en-GB"/>
        </w:rPr>
        <w:t>An</w:t>
      </w:r>
      <w:r w:rsidR="008940E2" w:rsidRPr="006C6C4F">
        <w:rPr>
          <w:lang w:val="en-GB"/>
        </w:rPr>
        <w:t xml:space="preserve"> investor applying outside Lithuania </w:t>
      </w:r>
      <w:r w:rsidR="00887891">
        <w:rPr>
          <w:lang w:val="en-GB"/>
        </w:rPr>
        <w:t>can</w:t>
      </w:r>
      <w:r w:rsidR="00887891" w:rsidRPr="006C6C4F">
        <w:rPr>
          <w:lang w:val="en-GB"/>
        </w:rPr>
        <w:t xml:space="preserve"> </w:t>
      </w:r>
      <w:r w:rsidR="008940E2" w:rsidRPr="006C6C4F">
        <w:rPr>
          <w:lang w:val="en-GB"/>
        </w:rPr>
        <w:t>file their application w</w:t>
      </w:r>
      <w:r w:rsidR="007E5583" w:rsidRPr="006C6C4F">
        <w:rPr>
          <w:lang w:val="en-GB"/>
        </w:rPr>
        <w:t>ith the d</w:t>
      </w:r>
      <w:r w:rsidR="00B522C2" w:rsidRPr="006C6C4F">
        <w:rPr>
          <w:lang w:val="en-GB"/>
        </w:rPr>
        <w:t xml:space="preserve">iplomatic mission or </w:t>
      </w:r>
      <w:r w:rsidR="00B522C2" w:rsidRPr="006C6C4F">
        <w:rPr>
          <w:lang w:val="en-GB"/>
        </w:rPr>
        <w:lastRenderedPageBreak/>
        <w:t>consular post of t</w:t>
      </w:r>
      <w:r w:rsidR="00CF6966" w:rsidRPr="006C6C4F">
        <w:rPr>
          <w:lang w:val="en-GB"/>
        </w:rPr>
        <w:t>he Republic of Lithuania abroad.</w:t>
      </w:r>
      <w:r w:rsidR="00F11212" w:rsidRPr="00505A7A">
        <w:rPr>
          <w:rStyle w:val="FootnoteReference"/>
        </w:rPr>
        <w:footnoteReference w:id="39"/>
      </w:r>
      <w:r w:rsidR="00B76CFB" w:rsidRPr="006C6C4F">
        <w:rPr>
          <w:lang w:val="en-GB"/>
        </w:rPr>
        <w:t xml:space="preserve"> </w:t>
      </w:r>
      <w:r w:rsidR="00887891">
        <w:rPr>
          <w:lang w:val="en-GB"/>
        </w:rPr>
        <w:t>T</w:t>
      </w:r>
      <w:r w:rsidR="005F3DD7" w:rsidRPr="006C6C4F">
        <w:rPr>
          <w:lang w:val="en-GB"/>
        </w:rPr>
        <w:t xml:space="preserve">he </w:t>
      </w:r>
      <w:r w:rsidR="001400DE">
        <w:rPr>
          <w:lang w:val="en-GB"/>
        </w:rPr>
        <w:t xml:space="preserve">applicable </w:t>
      </w:r>
      <w:r w:rsidR="005F3DD7" w:rsidRPr="006C6C4F">
        <w:rPr>
          <w:lang w:val="en-GB"/>
        </w:rPr>
        <w:t xml:space="preserve">consular fee </w:t>
      </w:r>
      <w:r w:rsidR="001400DE">
        <w:rPr>
          <w:lang w:val="en-GB"/>
        </w:rPr>
        <w:t xml:space="preserve">is EUR </w:t>
      </w:r>
      <w:r w:rsidR="005F3DD7" w:rsidRPr="006C6C4F">
        <w:rPr>
          <w:lang w:val="en-GB"/>
        </w:rPr>
        <w:t>100</w:t>
      </w:r>
      <w:r w:rsidR="008940E2" w:rsidRPr="006C6C4F">
        <w:rPr>
          <w:lang w:val="en-GB"/>
        </w:rPr>
        <w:t>.</w:t>
      </w:r>
      <w:r w:rsidR="008940E2" w:rsidRPr="00505A7A">
        <w:rPr>
          <w:rStyle w:val="FootnoteReference"/>
        </w:rPr>
        <w:footnoteReference w:id="40"/>
      </w:r>
    </w:p>
    <w:p w14:paraId="3FBC59B0" w14:textId="77777777" w:rsidR="008940E2" w:rsidRPr="006C6C4F" w:rsidRDefault="008940E2" w:rsidP="00AF30CA">
      <w:pPr>
        <w:pStyle w:val="MMultilevel"/>
        <w:rPr>
          <w:lang w:val="en-GB"/>
        </w:rPr>
      </w:pPr>
    </w:p>
    <w:p w14:paraId="37C98DA7" w14:textId="6C0DAB5A" w:rsidR="00B76CFB" w:rsidRPr="006C6C4F" w:rsidRDefault="00B76CFB" w:rsidP="00AF30CA">
      <w:pPr>
        <w:pStyle w:val="MMultilevel"/>
        <w:rPr>
          <w:lang w:val="en-GB"/>
        </w:rPr>
      </w:pPr>
      <w:r w:rsidRPr="006C6C4F">
        <w:rPr>
          <w:lang w:val="en-GB"/>
        </w:rPr>
        <w:t xml:space="preserve">The application can be filed in Lithuanian, Russian or English and it must be accompanied by the documents listed in </w:t>
      </w:r>
      <w:r w:rsidR="009175B2" w:rsidRPr="006C6C4F">
        <w:rPr>
          <w:lang w:val="en-GB"/>
        </w:rPr>
        <w:t>Article</w:t>
      </w:r>
      <w:r w:rsidR="00357EFA" w:rsidRPr="006C6C4F">
        <w:rPr>
          <w:lang w:val="en-GB"/>
        </w:rPr>
        <w:t>s</w:t>
      </w:r>
      <w:r w:rsidR="009175B2" w:rsidRPr="006C6C4F">
        <w:rPr>
          <w:lang w:val="en-GB"/>
        </w:rPr>
        <w:t xml:space="preserve"> 1</w:t>
      </w:r>
      <w:r w:rsidR="00357EFA" w:rsidRPr="006C6C4F">
        <w:rPr>
          <w:lang w:val="en-GB"/>
        </w:rPr>
        <w:t>7-17.12</w:t>
      </w:r>
      <w:r w:rsidR="009175B2" w:rsidRPr="006C6C4F">
        <w:rPr>
          <w:lang w:val="en-GB"/>
        </w:rPr>
        <w:t xml:space="preserve"> of the </w:t>
      </w:r>
      <w:r w:rsidR="006F284F" w:rsidRPr="006C6C4F">
        <w:rPr>
          <w:lang w:val="en-GB"/>
        </w:rPr>
        <w:t>TRP Rules</w:t>
      </w:r>
      <w:r w:rsidR="009175B2" w:rsidRPr="006C6C4F">
        <w:rPr>
          <w:lang w:val="en-GB"/>
        </w:rPr>
        <w:t>.</w:t>
      </w:r>
      <w:r w:rsidR="00726DBF">
        <w:rPr>
          <w:rStyle w:val="FootnoteReference"/>
          <w:lang w:val="en-GB"/>
        </w:rPr>
        <w:footnoteReference w:id="41"/>
      </w:r>
      <w:r w:rsidR="00B05B8D" w:rsidRPr="006C6C4F">
        <w:rPr>
          <w:lang w:val="en-GB"/>
        </w:rPr>
        <w:t xml:space="preserve"> </w:t>
      </w:r>
      <w:r w:rsidR="001D3697" w:rsidRPr="006C6C4F">
        <w:rPr>
          <w:lang w:val="en-GB"/>
        </w:rPr>
        <w:t xml:space="preserve">In terms of </w:t>
      </w:r>
      <w:r w:rsidR="00577653" w:rsidRPr="006C6C4F">
        <w:rPr>
          <w:lang w:val="en-GB"/>
        </w:rPr>
        <w:t>the documents</w:t>
      </w:r>
      <w:r w:rsidR="001D3697" w:rsidRPr="006C6C4F">
        <w:rPr>
          <w:lang w:val="en-GB"/>
        </w:rPr>
        <w:t xml:space="preserve">, </w:t>
      </w:r>
      <w:r w:rsidR="00577653" w:rsidRPr="006C6C4F">
        <w:rPr>
          <w:lang w:val="en-GB"/>
        </w:rPr>
        <w:t xml:space="preserve">small investors </w:t>
      </w:r>
      <w:r w:rsidR="001D3697" w:rsidRPr="006C6C4F">
        <w:rPr>
          <w:lang w:val="en-GB"/>
        </w:rPr>
        <w:t xml:space="preserve">are required to supply the evidence specified in </w:t>
      </w:r>
      <w:r w:rsidR="001D3697" w:rsidRPr="006C6C4F">
        <w:rPr>
          <w:lang w:val="en-GB" w:eastAsia="lt-LT"/>
        </w:rPr>
        <w:t>24.21</w:t>
      </w:r>
      <w:r w:rsidR="00577653" w:rsidRPr="006C6C4F">
        <w:rPr>
          <w:lang w:val="en-GB" w:eastAsia="lt-LT"/>
        </w:rPr>
        <w:t xml:space="preserve"> </w:t>
      </w:r>
      <w:r w:rsidR="00750406" w:rsidRPr="006C6C4F">
        <w:rPr>
          <w:lang w:val="en-GB"/>
        </w:rPr>
        <w:t>TRP Rules</w:t>
      </w:r>
      <w:r w:rsidR="00F930F5" w:rsidRPr="006C6C4F">
        <w:rPr>
          <w:lang w:val="en-GB"/>
        </w:rPr>
        <w:t>,</w:t>
      </w:r>
      <w:r w:rsidR="00F97D0C">
        <w:rPr>
          <w:rStyle w:val="FootnoteReference"/>
          <w:lang w:val="en-GB"/>
        </w:rPr>
        <w:footnoteReference w:id="42"/>
      </w:r>
      <w:r w:rsidR="00F930F5" w:rsidRPr="006C6C4F">
        <w:rPr>
          <w:lang w:val="en-GB"/>
        </w:rPr>
        <w:t xml:space="preserve"> while</w:t>
      </w:r>
      <w:r w:rsidR="001D3697" w:rsidRPr="006C6C4F">
        <w:rPr>
          <w:lang w:val="en-GB"/>
        </w:rPr>
        <w:t xml:space="preserve"> </w:t>
      </w:r>
      <w:r w:rsidR="00577653" w:rsidRPr="006C6C4F">
        <w:rPr>
          <w:lang w:val="en-GB"/>
        </w:rPr>
        <w:t xml:space="preserve">medium investors are to follow </w:t>
      </w:r>
      <w:r w:rsidR="00577653" w:rsidRPr="006C6C4F">
        <w:rPr>
          <w:lang w:val="en-GB" w:eastAsia="lt-LT"/>
        </w:rPr>
        <w:t>24.22</w:t>
      </w:r>
      <w:r w:rsidR="00577653" w:rsidRPr="006C6C4F">
        <w:rPr>
          <w:vertAlign w:val="superscript"/>
          <w:lang w:val="en-GB" w:eastAsia="lt-LT"/>
        </w:rPr>
        <w:t xml:space="preserve">1 </w:t>
      </w:r>
      <w:r w:rsidR="00577653" w:rsidRPr="006C6C4F">
        <w:rPr>
          <w:lang w:val="en-GB"/>
        </w:rPr>
        <w:t>TRP Rules.</w:t>
      </w:r>
      <w:r w:rsidR="00F97D0C">
        <w:rPr>
          <w:rStyle w:val="FootnoteReference"/>
          <w:lang w:val="en-GB"/>
        </w:rPr>
        <w:footnoteReference w:id="43"/>
      </w:r>
      <w:r w:rsidR="00F77660" w:rsidRPr="006C6C4F">
        <w:rPr>
          <w:lang w:val="en-GB"/>
        </w:rPr>
        <w:t xml:space="preserve"> All documents must be supplied </w:t>
      </w:r>
      <w:r w:rsidR="00D93EB3">
        <w:rPr>
          <w:lang w:val="en-GB"/>
        </w:rPr>
        <w:t xml:space="preserve">either </w:t>
      </w:r>
      <w:r w:rsidR="00F77660" w:rsidRPr="006C6C4F">
        <w:rPr>
          <w:lang w:val="en-GB"/>
        </w:rPr>
        <w:t>as original</w:t>
      </w:r>
      <w:r w:rsidR="00666003">
        <w:rPr>
          <w:lang w:val="en-GB"/>
        </w:rPr>
        <w:t xml:space="preserve"> documents</w:t>
      </w:r>
      <w:r w:rsidR="00F77660" w:rsidRPr="006C6C4F">
        <w:rPr>
          <w:lang w:val="en-GB"/>
        </w:rPr>
        <w:t xml:space="preserve"> or as</w:t>
      </w:r>
      <w:r w:rsidR="00666003">
        <w:rPr>
          <w:lang w:val="en-GB"/>
        </w:rPr>
        <w:t xml:space="preserve"> their</w:t>
      </w:r>
      <w:r w:rsidR="00F77660" w:rsidRPr="006C6C4F">
        <w:rPr>
          <w:lang w:val="en-GB"/>
        </w:rPr>
        <w:t xml:space="preserve"> copies certified by a public notary</w:t>
      </w:r>
      <w:r w:rsidR="00F77660" w:rsidRPr="00505A7A">
        <w:rPr>
          <w:rStyle w:val="FootnoteReference"/>
        </w:rPr>
        <w:footnoteReference w:id="44"/>
      </w:r>
      <w:r w:rsidR="00C519D5" w:rsidRPr="006C6C4F">
        <w:rPr>
          <w:lang w:val="en-GB"/>
        </w:rPr>
        <w:t xml:space="preserve"> </w:t>
      </w:r>
      <w:r w:rsidR="00412DBC" w:rsidRPr="006C6C4F">
        <w:rPr>
          <w:lang w:val="en-GB"/>
        </w:rPr>
        <w:t>or with apostille,</w:t>
      </w:r>
      <w:r w:rsidR="00412DBC" w:rsidRPr="00505A7A">
        <w:rPr>
          <w:rStyle w:val="FootnoteReference"/>
        </w:rPr>
        <w:footnoteReference w:id="45"/>
      </w:r>
      <w:r w:rsidR="00412DBC" w:rsidRPr="006C6C4F">
        <w:rPr>
          <w:lang w:val="en-GB"/>
        </w:rPr>
        <w:t xml:space="preserve"> </w:t>
      </w:r>
      <w:r w:rsidR="00C519D5" w:rsidRPr="006C6C4F">
        <w:rPr>
          <w:lang w:val="en-GB"/>
        </w:rPr>
        <w:t>including translations.</w:t>
      </w:r>
      <w:r w:rsidR="00C519D5" w:rsidRPr="00505A7A">
        <w:rPr>
          <w:rStyle w:val="FootnoteReference"/>
        </w:rPr>
        <w:footnoteReference w:id="46"/>
      </w:r>
      <w:r w:rsidR="007E5583" w:rsidRPr="006C6C4F">
        <w:rPr>
          <w:lang w:val="en-GB"/>
        </w:rPr>
        <w:t xml:space="preserve"> For ease of use, the list of the documents required is </w:t>
      </w:r>
      <w:r w:rsidR="007E6C11">
        <w:rPr>
          <w:lang w:val="en-GB"/>
        </w:rPr>
        <w:t xml:space="preserve">also </w:t>
      </w:r>
      <w:r w:rsidR="007E5583" w:rsidRPr="006C6C4F">
        <w:rPr>
          <w:lang w:val="en-GB"/>
        </w:rPr>
        <w:t>published on the Migration Department’s website, by the type of application</w:t>
      </w:r>
      <w:r w:rsidR="00453524" w:rsidRPr="006C6C4F">
        <w:rPr>
          <w:lang w:val="en-GB"/>
        </w:rPr>
        <w:t>,</w:t>
      </w:r>
      <w:r w:rsidR="007E5583" w:rsidRPr="00505A7A">
        <w:rPr>
          <w:rStyle w:val="FootnoteReference"/>
        </w:rPr>
        <w:footnoteReference w:id="47"/>
      </w:r>
      <w:r w:rsidR="007E5583" w:rsidRPr="006C6C4F">
        <w:rPr>
          <w:lang w:val="en-GB"/>
        </w:rPr>
        <w:t xml:space="preserve"> for </w:t>
      </w:r>
      <w:r w:rsidR="007E6C11">
        <w:rPr>
          <w:lang w:val="en-GB"/>
        </w:rPr>
        <w:t xml:space="preserve">both </w:t>
      </w:r>
      <w:r w:rsidR="007E5583" w:rsidRPr="006C6C4F">
        <w:rPr>
          <w:lang w:val="en-GB"/>
        </w:rPr>
        <w:t>small</w:t>
      </w:r>
      <w:r w:rsidR="007E6C11">
        <w:rPr>
          <w:lang w:val="en-GB"/>
        </w:rPr>
        <w:t xml:space="preserve"> and </w:t>
      </w:r>
      <w:r w:rsidR="007E5583" w:rsidRPr="006C6C4F">
        <w:rPr>
          <w:lang w:val="en-GB"/>
        </w:rPr>
        <w:t>medium</w:t>
      </w:r>
      <w:r w:rsidR="00A2190E">
        <w:rPr>
          <w:lang w:val="en-GB"/>
        </w:rPr>
        <w:t xml:space="preserve"> investors.</w:t>
      </w:r>
      <w:r w:rsidR="007E5583" w:rsidRPr="00505A7A">
        <w:rPr>
          <w:rStyle w:val="FootnoteReference"/>
        </w:rPr>
        <w:footnoteReference w:id="48"/>
      </w:r>
    </w:p>
    <w:p w14:paraId="4A4C1BE8" w14:textId="77777777" w:rsidR="008A60F3" w:rsidRPr="006C6C4F" w:rsidRDefault="008A60F3" w:rsidP="00AF30CA">
      <w:pPr>
        <w:pStyle w:val="MMultilevel"/>
        <w:rPr>
          <w:lang w:val="en-GB"/>
        </w:rPr>
      </w:pPr>
    </w:p>
    <w:p w14:paraId="64D75DC2" w14:textId="7F4872DB" w:rsidR="00F930F5" w:rsidRPr="006C6C4F" w:rsidRDefault="008A60F3" w:rsidP="00F930F5">
      <w:pPr>
        <w:pStyle w:val="MMultilevel"/>
        <w:rPr>
          <w:lang w:val="en-GB"/>
        </w:rPr>
      </w:pPr>
      <w:r w:rsidRPr="006C6C4F">
        <w:rPr>
          <w:lang w:val="en-GB"/>
        </w:rPr>
        <w:t>The</w:t>
      </w:r>
      <w:r w:rsidR="00874673" w:rsidRPr="006C6C4F">
        <w:rPr>
          <w:lang w:val="en-GB"/>
        </w:rPr>
        <w:t xml:space="preserve"> civil servant </w:t>
      </w:r>
      <w:r w:rsidRPr="006C6C4F">
        <w:rPr>
          <w:lang w:val="en-GB"/>
        </w:rPr>
        <w:t>at the consular office</w:t>
      </w:r>
      <w:r w:rsidR="0086373A" w:rsidRPr="00505A7A">
        <w:rPr>
          <w:rStyle w:val="FootnoteReference"/>
        </w:rPr>
        <w:footnoteReference w:id="49"/>
      </w:r>
      <w:r w:rsidRPr="006C6C4F">
        <w:rPr>
          <w:lang w:val="en-GB"/>
        </w:rPr>
        <w:t xml:space="preserve"> checks all</w:t>
      </w:r>
      <w:r w:rsidR="00033523" w:rsidRPr="006C6C4F">
        <w:rPr>
          <w:lang w:val="en-GB"/>
        </w:rPr>
        <w:t xml:space="preserve"> the applicant’s personal data</w:t>
      </w:r>
      <w:r w:rsidR="0086373A" w:rsidRPr="006C6C4F">
        <w:rPr>
          <w:lang w:val="en-GB"/>
        </w:rPr>
        <w:t>, the correctness of the supplied documents (and that they were not forged)</w:t>
      </w:r>
      <w:r w:rsidR="00033523" w:rsidRPr="006C6C4F">
        <w:rPr>
          <w:lang w:val="en-GB"/>
        </w:rPr>
        <w:t xml:space="preserve"> and </w:t>
      </w:r>
      <w:r w:rsidRPr="006C6C4F">
        <w:rPr>
          <w:lang w:val="en-GB"/>
        </w:rPr>
        <w:t>registers the application.</w:t>
      </w:r>
      <w:r w:rsidR="00F930F5" w:rsidRPr="006C6C4F">
        <w:rPr>
          <w:lang w:val="en-GB"/>
        </w:rPr>
        <w:t xml:space="preserve"> Once all the document checks are complete, the</w:t>
      </w:r>
      <w:r w:rsidR="001400DE">
        <w:rPr>
          <w:lang w:val="en-GB"/>
        </w:rPr>
        <w:t xml:space="preserve"> application</w:t>
      </w:r>
      <w:r w:rsidR="00F930F5" w:rsidRPr="006C6C4F">
        <w:rPr>
          <w:lang w:val="en-GB"/>
        </w:rPr>
        <w:t xml:space="preserve"> file is then posted to the Migration Department.</w:t>
      </w:r>
    </w:p>
    <w:p w14:paraId="3534CA72" w14:textId="77777777" w:rsidR="00772B87" w:rsidRPr="006C6C4F" w:rsidRDefault="00772B87" w:rsidP="00F930F5">
      <w:pPr>
        <w:pStyle w:val="MMultilevel"/>
        <w:rPr>
          <w:lang w:val="en-GB"/>
        </w:rPr>
      </w:pPr>
    </w:p>
    <w:p w14:paraId="454751A1" w14:textId="72978C3B" w:rsidR="00FD0755" w:rsidRPr="006C6C4F" w:rsidRDefault="00772B87" w:rsidP="00AE78BA">
      <w:pPr>
        <w:autoSpaceDE w:val="0"/>
        <w:autoSpaceDN w:val="0"/>
        <w:adjustRightInd w:val="0"/>
        <w:jc w:val="both"/>
        <w:rPr>
          <w:sz w:val="22"/>
          <w:szCs w:val="22"/>
        </w:rPr>
      </w:pPr>
      <w:r w:rsidRPr="006C6C4F">
        <w:rPr>
          <w:sz w:val="22"/>
          <w:szCs w:val="22"/>
        </w:rPr>
        <w:t>Similarly, when an application is sent to the civil servant at the local migration office or reaches the Migration Department, the</w:t>
      </w:r>
      <w:r w:rsidR="007C3FE4" w:rsidRPr="006C6C4F">
        <w:rPr>
          <w:sz w:val="22"/>
          <w:szCs w:val="22"/>
        </w:rPr>
        <w:t>r</w:t>
      </w:r>
      <w:r w:rsidRPr="006C6C4F">
        <w:rPr>
          <w:sz w:val="22"/>
          <w:szCs w:val="22"/>
        </w:rPr>
        <w:t xml:space="preserve">e are </w:t>
      </w:r>
      <w:r w:rsidR="007C3FE4" w:rsidRPr="006C6C4F">
        <w:rPr>
          <w:sz w:val="22"/>
          <w:szCs w:val="22"/>
        </w:rPr>
        <w:t xml:space="preserve">also </w:t>
      </w:r>
      <w:r w:rsidRPr="006C6C4F">
        <w:rPr>
          <w:sz w:val="22"/>
          <w:szCs w:val="22"/>
        </w:rPr>
        <w:t>detailed checks.</w:t>
      </w:r>
      <w:r w:rsidR="007C3FE4" w:rsidRPr="00505A7A">
        <w:rPr>
          <w:rStyle w:val="FootnoteReference"/>
        </w:rPr>
        <w:footnoteReference w:id="50"/>
      </w:r>
      <w:r w:rsidR="007C3FE4" w:rsidRPr="006C6C4F">
        <w:rPr>
          <w:sz w:val="22"/>
          <w:szCs w:val="22"/>
        </w:rPr>
        <w:t xml:space="preserve"> </w:t>
      </w:r>
      <w:r w:rsidR="000502C6">
        <w:rPr>
          <w:sz w:val="22"/>
          <w:szCs w:val="22"/>
        </w:rPr>
        <w:t xml:space="preserve">However, note that, </w:t>
      </w:r>
      <w:r w:rsidR="00213C10">
        <w:rPr>
          <w:sz w:val="22"/>
          <w:szCs w:val="22"/>
        </w:rPr>
        <w:t>generally</w:t>
      </w:r>
      <w:r w:rsidR="00263BB0">
        <w:rPr>
          <w:sz w:val="22"/>
          <w:szCs w:val="22"/>
        </w:rPr>
        <w:t xml:space="preserve"> for speedier and more consistent processing</w:t>
      </w:r>
      <w:r w:rsidR="000502C6">
        <w:rPr>
          <w:sz w:val="22"/>
          <w:szCs w:val="22"/>
        </w:rPr>
        <w:t>, the TRP applications from foreign investors are to be filed directly</w:t>
      </w:r>
      <w:r w:rsidR="00263BB0">
        <w:rPr>
          <w:sz w:val="22"/>
          <w:szCs w:val="22"/>
        </w:rPr>
        <w:t xml:space="preserve"> with the Migration Department.</w:t>
      </w:r>
    </w:p>
    <w:p w14:paraId="5C135BA3" w14:textId="77777777" w:rsidR="00FD0755" w:rsidRPr="006C6C4F" w:rsidRDefault="00FD0755" w:rsidP="00772B87">
      <w:pPr>
        <w:autoSpaceDE w:val="0"/>
        <w:autoSpaceDN w:val="0"/>
        <w:adjustRightInd w:val="0"/>
        <w:rPr>
          <w:sz w:val="22"/>
          <w:szCs w:val="22"/>
        </w:rPr>
      </w:pPr>
    </w:p>
    <w:p w14:paraId="6DAF675C" w14:textId="61A6B99B" w:rsidR="00772B87" w:rsidRDefault="00772B87" w:rsidP="00772B87">
      <w:pPr>
        <w:pStyle w:val="ListParagraph"/>
        <w:ind w:left="0"/>
      </w:pPr>
      <w:r w:rsidRPr="006C6C4F">
        <w:rPr>
          <w:szCs w:val="22"/>
        </w:rPr>
        <w:lastRenderedPageBreak/>
        <w:t xml:space="preserve">The TRP Rules require civil servants to check the </w:t>
      </w:r>
      <w:r w:rsidRPr="006C6C4F">
        <w:t>relevant official registers</w:t>
      </w:r>
      <w:r w:rsidRPr="00DE4C72">
        <w:rPr>
          <w:rStyle w:val="FootnoteReference"/>
        </w:rPr>
        <w:footnoteReference w:id="51"/>
      </w:r>
      <w:r w:rsidRPr="006C6C4F">
        <w:t xml:space="preserve"> and information systems:</w:t>
      </w:r>
    </w:p>
    <w:p w14:paraId="7D1D2AE1" w14:textId="77777777" w:rsidR="00772B87" w:rsidRPr="006C6C4F" w:rsidRDefault="00772B87" w:rsidP="00547627">
      <w:pPr>
        <w:pStyle w:val="MMultileveltable"/>
        <w:ind w:left="426"/>
      </w:pPr>
      <w:r w:rsidRPr="006C6C4F">
        <w:t>Population Register: whether the foreigner had been previously issued Lithuanian identity document or</w:t>
      </w:r>
      <w:r w:rsidR="001400DE">
        <w:t xml:space="preserve"> a</w:t>
      </w:r>
      <w:r w:rsidRPr="006C6C4F">
        <w:t xml:space="preserve"> residence permit; whether they are registered at an address that may have been used as a residential address by other foreigners.</w:t>
      </w:r>
      <w:r w:rsidRPr="00DE4C72">
        <w:rPr>
          <w:rStyle w:val="FootnoteReference"/>
        </w:rPr>
        <w:footnoteReference w:id="52"/>
      </w:r>
    </w:p>
    <w:p w14:paraId="630300AF" w14:textId="71123F60" w:rsidR="00772B87" w:rsidRPr="006C6C4F" w:rsidRDefault="00772B87" w:rsidP="00547627">
      <w:pPr>
        <w:pStyle w:val="MMultileveltable"/>
        <w:ind w:left="426"/>
      </w:pPr>
      <w:r w:rsidRPr="006C6C4F">
        <w:t>Register of Legal Entities: whether the foreign investor is registered as company owner</w:t>
      </w:r>
      <w:r w:rsidR="003031AE">
        <w:t>, shareholder</w:t>
      </w:r>
      <w:r w:rsidR="00895145">
        <w:t xml:space="preserve"> or </w:t>
      </w:r>
      <w:r w:rsidR="00895145">
        <w:rPr>
          <w:lang w:val="en-GB"/>
        </w:rPr>
        <w:t xml:space="preserve">manager of </w:t>
      </w:r>
      <w:r w:rsidR="00895145">
        <w:t>the enterprise</w:t>
      </w:r>
      <w:r w:rsidRPr="006C6C4F">
        <w:t>.</w:t>
      </w:r>
      <w:r w:rsidRPr="00DE4C72">
        <w:rPr>
          <w:rStyle w:val="FootnoteReference"/>
        </w:rPr>
        <w:footnoteReference w:id="53"/>
      </w:r>
    </w:p>
    <w:p w14:paraId="053E18AA" w14:textId="196B47E7" w:rsidR="00772B87" w:rsidRPr="006C6C4F" w:rsidRDefault="00F827CB" w:rsidP="00547627">
      <w:pPr>
        <w:pStyle w:val="MMultileveltable"/>
        <w:ind w:left="426"/>
      </w:pPr>
      <w:r>
        <w:t>Real Estate Register</w:t>
      </w:r>
      <w:r w:rsidR="00772B87" w:rsidRPr="006C6C4F">
        <w:t>: whether the foreigner has a place to live that will be the declared place of residence.</w:t>
      </w:r>
      <w:r w:rsidR="00772B87" w:rsidRPr="00DE4C72">
        <w:rPr>
          <w:rStyle w:val="FootnoteReference"/>
        </w:rPr>
        <w:footnoteReference w:id="54"/>
      </w:r>
    </w:p>
    <w:p w14:paraId="3A44D221" w14:textId="77777777" w:rsidR="00772B87" w:rsidRPr="006C6C4F" w:rsidRDefault="00772B87" w:rsidP="00547627">
      <w:pPr>
        <w:pStyle w:val="MMultileveltable"/>
        <w:ind w:left="426"/>
      </w:pPr>
      <w:r w:rsidRPr="006C6C4F">
        <w:t>Information system of the State Social Insurance Fund Board: whether there are full-time work posts in the company and how many employees work there.</w:t>
      </w:r>
      <w:r w:rsidRPr="00DE4C72">
        <w:rPr>
          <w:rStyle w:val="FootnoteReference"/>
        </w:rPr>
        <w:footnoteReference w:id="55"/>
      </w:r>
    </w:p>
    <w:p w14:paraId="7D3E0172" w14:textId="77777777" w:rsidR="00772B87" w:rsidRPr="006C6C4F" w:rsidRDefault="00772B87" w:rsidP="00A847F8">
      <w:pPr>
        <w:rPr>
          <w:sz w:val="22"/>
          <w:szCs w:val="22"/>
        </w:rPr>
      </w:pPr>
    </w:p>
    <w:p w14:paraId="4ECA5ADD" w14:textId="77777777" w:rsidR="00FD0755" w:rsidRPr="006C6C4F" w:rsidRDefault="00FD0755" w:rsidP="00FD0755">
      <w:pPr>
        <w:autoSpaceDE w:val="0"/>
        <w:autoSpaceDN w:val="0"/>
        <w:adjustRightInd w:val="0"/>
        <w:rPr>
          <w:bCs/>
          <w:sz w:val="22"/>
          <w:szCs w:val="22"/>
        </w:rPr>
      </w:pPr>
      <w:r w:rsidRPr="006C6C4F">
        <w:rPr>
          <w:bCs/>
          <w:sz w:val="22"/>
          <w:szCs w:val="22"/>
        </w:rPr>
        <w:t xml:space="preserve">All institutions assessing the applications must apply the requirements listed in the LLSA, but there are also some discretionary conditions (e.g. the business plan, ability to speak Lithuanian and other languages; checking the truthfulness of the applicant’s biographic facts) that </w:t>
      </w:r>
      <w:r w:rsidRPr="006C6C4F">
        <w:rPr>
          <w:rFonts w:eastAsia="MinionPro-Regular"/>
          <w:sz w:val="22"/>
          <w:szCs w:val="22"/>
          <w:lang w:eastAsia="en-GB"/>
        </w:rPr>
        <w:t>are ‘not systematically evaluated and are left at the consular authorities’ or immigration officers’ discretion.’</w:t>
      </w:r>
      <w:r w:rsidRPr="00505A7A">
        <w:rPr>
          <w:rStyle w:val="FootnoteReference"/>
          <w:rFonts w:eastAsia="MinionPro-Regular"/>
        </w:rPr>
        <w:footnoteReference w:id="56"/>
      </w:r>
      <w:r w:rsidRPr="006C6C4F">
        <w:rPr>
          <w:rFonts w:eastAsia="MinionPro-Regular"/>
          <w:sz w:val="22"/>
          <w:szCs w:val="22"/>
          <w:lang w:eastAsia="en-GB"/>
        </w:rPr>
        <w:t xml:space="preserve"> </w:t>
      </w:r>
    </w:p>
    <w:p w14:paraId="440CB237" w14:textId="77777777" w:rsidR="00FD0755" w:rsidRPr="006C6C4F" w:rsidRDefault="00FD0755" w:rsidP="00A847F8">
      <w:pPr>
        <w:rPr>
          <w:sz w:val="22"/>
          <w:szCs w:val="22"/>
        </w:rPr>
      </w:pPr>
    </w:p>
    <w:p w14:paraId="361DD155" w14:textId="69099FF4" w:rsidR="00A847F8" w:rsidRPr="006C6C4F" w:rsidRDefault="00A847F8" w:rsidP="00505A7A">
      <w:pPr>
        <w:jc w:val="both"/>
        <w:rPr>
          <w:sz w:val="22"/>
          <w:szCs w:val="22"/>
        </w:rPr>
      </w:pPr>
      <w:r w:rsidRPr="006C6C4F">
        <w:rPr>
          <w:sz w:val="22"/>
          <w:szCs w:val="22"/>
        </w:rPr>
        <w:t>Once all checks are complete and the documents are</w:t>
      </w:r>
      <w:r w:rsidR="001400DE">
        <w:rPr>
          <w:sz w:val="22"/>
          <w:szCs w:val="22"/>
        </w:rPr>
        <w:t xml:space="preserve"> deemed to be</w:t>
      </w:r>
      <w:r w:rsidRPr="006C6C4F">
        <w:rPr>
          <w:sz w:val="22"/>
          <w:szCs w:val="22"/>
        </w:rPr>
        <w:t xml:space="preserve"> in order, the application </w:t>
      </w:r>
      <w:r w:rsidR="008E5D00">
        <w:rPr>
          <w:sz w:val="22"/>
          <w:szCs w:val="22"/>
        </w:rPr>
        <w:t>must</w:t>
      </w:r>
      <w:r w:rsidR="008E5D00" w:rsidRPr="006C6C4F">
        <w:rPr>
          <w:sz w:val="22"/>
          <w:szCs w:val="22"/>
        </w:rPr>
        <w:t xml:space="preserve"> </w:t>
      </w:r>
      <w:r w:rsidRPr="006C6C4F">
        <w:rPr>
          <w:sz w:val="22"/>
          <w:szCs w:val="22"/>
        </w:rPr>
        <w:t>be passed on</w:t>
      </w:r>
      <w:r w:rsidR="001400DE">
        <w:rPr>
          <w:sz w:val="22"/>
          <w:szCs w:val="22"/>
        </w:rPr>
        <w:t xml:space="preserve"> </w:t>
      </w:r>
      <w:r w:rsidRPr="006C6C4F">
        <w:rPr>
          <w:sz w:val="22"/>
          <w:szCs w:val="22"/>
        </w:rPr>
        <w:t>to the Migration Department within five working days</w:t>
      </w:r>
      <w:r w:rsidR="001400DE">
        <w:rPr>
          <w:sz w:val="22"/>
          <w:szCs w:val="22"/>
        </w:rPr>
        <w:t xml:space="preserve"> </w:t>
      </w:r>
      <w:r w:rsidRPr="006C6C4F">
        <w:rPr>
          <w:sz w:val="22"/>
          <w:szCs w:val="22"/>
        </w:rPr>
        <w:t>or within two working days (if</w:t>
      </w:r>
      <w:r w:rsidR="001400DE">
        <w:rPr>
          <w:sz w:val="22"/>
          <w:szCs w:val="22"/>
        </w:rPr>
        <w:t xml:space="preserve"> it is an</w:t>
      </w:r>
      <w:r w:rsidRPr="006C6C4F">
        <w:rPr>
          <w:sz w:val="22"/>
          <w:szCs w:val="22"/>
        </w:rPr>
        <w:t xml:space="preserve"> urgent application).</w:t>
      </w:r>
      <w:r w:rsidR="003926C8" w:rsidRPr="00505A7A">
        <w:rPr>
          <w:rStyle w:val="FootnoteReference"/>
        </w:rPr>
        <w:footnoteReference w:id="57"/>
      </w:r>
    </w:p>
    <w:p w14:paraId="30F46C31" w14:textId="77777777" w:rsidR="0086373A" w:rsidRPr="006C6C4F" w:rsidRDefault="0086373A" w:rsidP="00505A7A">
      <w:pPr>
        <w:autoSpaceDE w:val="0"/>
        <w:autoSpaceDN w:val="0"/>
        <w:adjustRightInd w:val="0"/>
        <w:jc w:val="both"/>
        <w:rPr>
          <w:sz w:val="22"/>
          <w:szCs w:val="22"/>
        </w:rPr>
      </w:pPr>
    </w:p>
    <w:p w14:paraId="2BE76420" w14:textId="77777777" w:rsidR="00114D9C" w:rsidRPr="006C6C4F" w:rsidRDefault="00114D9C" w:rsidP="004C4CE9">
      <w:pPr>
        <w:pStyle w:val="MMultilevel"/>
        <w:numPr>
          <w:ilvl w:val="0"/>
          <w:numId w:val="12"/>
        </w:numPr>
        <w:rPr>
          <w:b/>
          <w:lang w:val="en-GB"/>
        </w:rPr>
      </w:pPr>
      <w:r w:rsidRPr="006C6C4F">
        <w:rPr>
          <w:b/>
          <w:lang w:val="en-GB"/>
        </w:rPr>
        <w:t>Examination of the applica</w:t>
      </w:r>
      <w:r w:rsidR="00566441" w:rsidRPr="006C6C4F">
        <w:rPr>
          <w:b/>
          <w:lang w:val="en-GB"/>
        </w:rPr>
        <w:t>tion for issue/renewal of a TRP: Articles 54-105 TRP Rules</w:t>
      </w:r>
    </w:p>
    <w:p w14:paraId="66F8EEAC" w14:textId="77777777" w:rsidR="0065144C" w:rsidRPr="006C6C4F" w:rsidRDefault="0065144C" w:rsidP="00A33C87">
      <w:pPr>
        <w:pStyle w:val="ListParagraph"/>
        <w:rPr>
          <w:szCs w:val="22"/>
        </w:rPr>
      </w:pPr>
    </w:p>
    <w:p w14:paraId="76E92E86" w14:textId="063FE927" w:rsidR="00D738D4" w:rsidRPr="006C6C4F" w:rsidRDefault="00D738D4" w:rsidP="00AE78BA">
      <w:pPr>
        <w:jc w:val="both"/>
        <w:rPr>
          <w:sz w:val="22"/>
          <w:szCs w:val="22"/>
        </w:rPr>
      </w:pPr>
      <w:r w:rsidRPr="006C6C4F">
        <w:rPr>
          <w:sz w:val="22"/>
          <w:szCs w:val="22"/>
        </w:rPr>
        <w:t>A civil servant at the Mig</w:t>
      </w:r>
      <w:r w:rsidR="003B6914" w:rsidRPr="006C6C4F">
        <w:rPr>
          <w:sz w:val="22"/>
          <w:szCs w:val="22"/>
        </w:rPr>
        <w:t>ration Department will consider</w:t>
      </w:r>
      <w:r w:rsidR="00851241" w:rsidRPr="006C6C4F">
        <w:rPr>
          <w:sz w:val="22"/>
          <w:szCs w:val="22"/>
        </w:rPr>
        <w:t xml:space="preserve"> </w:t>
      </w:r>
      <w:r w:rsidR="00167D46" w:rsidRPr="006C6C4F">
        <w:rPr>
          <w:sz w:val="22"/>
          <w:szCs w:val="22"/>
        </w:rPr>
        <w:t xml:space="preserve">and asses </w:t>
      </w:r>
      <w:r w:rsidR="00851241" w:rsidRPr="006C6C4F">
        <w:rPr>
          <w:sz w:val="22"/>
          <w:szCs w:val="22"/>
        </w:rPr>
        <w:t xml:space="preserve">each </w:t>
      </w:r>
      <w:r w:rsidRPr="006C6C4F">
        <w:rPr>
          <w:sz w:val="22"/>
          <w:szCs w:val="22"/>
        </w:rPr>
        <w:t>TRP</w:t>
      </w:r>
      <w:r w:rsidR="00851241" w:rsidRPr="006C6C4F">
        <w:rPr>
          <w:sz w:val="22"/>
          <w:szCs w:val="22"/>
        </w:rPr>
        <w:t xml:space="preserve"> application file</w:t>
      </w:r>
      <w:r w:rsidR="001400DE">
        <w:rPr>
          <w:sz w:val="22"/>
          <w:szCs w:val="22"/>
        </w:rPr>
        <w:t>. The</w:t>
      </w:r>
      <w:r w:rsidRPr="006C6C4F">
        <w:rPr>
          <w:sz w:val="22"/>
          <w:szCs w:val="22"/>
        </w:rPr>
        <w:t xml:space="preserve"> final decision </w:t>
      </w:r>
      <w:r w:rsidR="001400DE">
        <w:rPr>
          <w:sz w:val="22"/>
          <w:szCs w:val="22"/>
        </w:rPr>
        <w:t>is</w:t>
      </w:r>
      <w:r w:rsidR="003B6914" w:rsidRPr="006C6C4F">
        <w:rPr>
          <w:sz w:val="22"/>
          <w:szCs w:val="22"/>
        </w:rPr>
        <w:t xml:space="preserve"> </w:t>
      </w:r>
      <w:r w:rsidRPr="006C6C4F">
        <w:rPr>
          <w:sz w:val="22"/>
          <w:szCs w:val="22"/>
        </w:rPr>
        <w:t>taken by the Department’</w:t>
      </w:r>
      <w:r w:rsidR="00525B18" w:rsidRPr="006C6C4F">
        <w:rPr>
          <w:sz w:val="22"/>
          <w:szCs w:val="22"/>
        </w:rPr>
        <w:t>s Director or the person authorised by the Director.</w:t>
      </w:r>
      <w:r w:rsidR="00EA1668" w:rsidRPr="00505A7A">
        <w:rPr>
          <w:rStyle w:val="FootnoteReference"/>
        </w:rPr>
        <w:footnoteReference w:id="58"/>
      </w:r>
      <w:r w:rsidR="00525B18" w:rsidRPr="006C6C4F">
        <w:rPr>
          <w:sz w:val="22"/>
          <w:szCs w:val="22"/>
        </w:rPr>
        <w:t xml:space="preserve"> </w:t>
      </w:r>
    </w:p>
    <w:p w14:paraId="6AAAB60D" w14:textId="77777777" w:rsidR="00A04BAB" w:rsidRPr="006C6C4F" w:rsidRDefault="00A04BAB" w:rsidP="001400DE">
      <w:pPr>
        <w:pStyle w:val="ListParagraph"/>
        <w:rPr>
          <w:szCs w:val="22"/>
        </w:rPr>
      </w:pPr>
    </w:p>
    <w:p w14:paraId="3216F5CD" w14:textId="63B12A37" w:rsidR="007D682A" w:rsidRPr="006C6C4F" w:rsidRDefault="007D682A" w:rsidP="00AE78BA">
      <w:pPr>
        <w:jc w:val="both"/>
        <w:rPr>
          <w:sz w:val="22"/>
          <w:szCs w:val="22"/>
        </w:rPr>
      </w:pPr>
      <w:r w:rsidRPr="006C6C4F">
        <w:rPr>
          <w:sz w:val="22"/>
          <w:szCs w:val="22"/>
        </w:rPr>
        <w:t xml:space="preserve">Once the Migration Department receives the </w:t>
      </w:r>
      <w:r w:rsidR="006D2C46" w:rsidRPr="006C6C4F">
        <w:rPr>
          <w:sz w:val="22"/>
          <w:szCs w:val="22"/>
        </w:rPr>
        <w:t>file</w:t>
      </w:r>
      <w:r w:rsidRPr="006C6C4F">
        <w:rPr>
          <w:sz w:val="22"/>
          <w:szCs w:val="22"/>
        </w:rPr>
        <w:t>, the</w:t>
      </w:r>
      <w:r w:rsidR="00947A64" w:rsidRPr="006C6C4F">
        <w:rPr>
          <w:sz w:val="22"/>
          <w:szCs w:val="22"/>
        </w:rPr>
        <w:t xml:space="preserve"> civil servant</w:t>
      </w:r>
      <w:r w:rsidRPr="006C6C4F">
        <w:rPr>
          <w:sz w:val="22"/>
          <w:szCs w:val="22"/>
        </w:rPr>
        <w:t xml:space="preserve"> must check that all required documents </w:t>
      </w:r>
      <w:r w:rsidR="001400DE">
        <w:rPr>
          <w:sz w:val="22"/>
          <w:szCs w:val="22"/>
        </w:rPr>
        <w:t>have been provided</w:t>
      </w:r>
      <w:r w:rsidRPr="006C6C4F">
        <w:rPr>
          <w:sz w:val="22"/>
          <w:szCs w:val="22"/>
        </w:rPr>
        <w:t>; if not, the file is returned to the migration office that originally received</w:t>
      </w:r>
      <w:r w:rsidR="001400DE">
        <w:rPr>
          <w:sz w:val="22"/>
          <w:szCs w:val="22"/>
        </w:rPr>
        <w:t xml:space="preserve"> the file</w:t>
      </w:r>
      <w:r w:rsidRPr="006C6C4F">
        <w:rPr>
          <w:sz w:val="22"/>
          <w:szCs w:val="22"/>
        </w:rPr>
        <w:t xml:space="preserve">, to </w:t>
      </w:r>
      <w:r w:rsidR="001400DE">
        <w:rPr>
          <w:sz w:val="22"/>
          <w:szCs w:val="22"/>
        </w:rPr>
        <w:t>complete</w:t>
      </w:r>
      <w:r w:rsidR="001400DE" w:rsidRPr="006C6C4F">
        <w:rPr>
          <w:sz w:val="22"/>
          <w:szCs w:val="22"/>
        </w:rPr>
        <w:t xml:space="preserve"> </w:t>
      </w:r>
      <w:r w:rsidRPr="006C6C4F">
        <w:rPr>
          <w:sz w:val="22"/>
          <w:szCs w:val="22"/>
        </w:rPr>
        <w:t>the missing information.</w:t>
      </w:r>
      <w:r w:rsidRPr="00505A7A">
        <w:rPr>
          <w:rStyle w:val="FootnoteReference"/>
        </w:rPr>
        <w:footnoteReference w:id="59"/>
      </w:r>
    </w:p>
    <w:p w14:paraId="35E09496" w14:textId="77777777" w:rsidR="007D682A" w:rsidRPr="006C6C4F" w:rsidRDefault="007D682A" w:rsidP="00AE78BA">
      <w:pPr>
        <w:jc w:val="both"/>
        <w:rPr>
          <w:sz w:val="22"/>
          <w:szCs w:val="22"/>
        </w:rPr>
      </w:pPr>
    </w:p>
    <w:p w14:paraId="03B1138A" w14:textId="3042F7BD" w:rsidR="00FD0755" w:rsidRPr="006C6C4F" w:rsidRDefault="007D682A" w:rsidP="00AE78BA">
      <w:pPr>
        <w:autoSpaceDE w:val="0"/>
        <w:autoSpaceDN w:val="0"/>
        <w:adjustRightInd w:val="0"/>
        <w:jc w:val="both"/>
        <w:rPr>
          <w:sz w:val="22"/>
          <w:szCs w:val="22"/>
        </w:rPr>
      </w:pPr>
      <w:r w:rsidRPr="006C6C4F">
        <w:rPr>
          <w:sz w:val="22"/>
          <w:szCs w:val="22"/>
        </w:rPr>
        <w:t xml:space="preserve">If the file is </w:t>
      </w:r>
      <w:r w:rsidR="001400DE">
        <w:rPr>
          <w:sz w:val="22"/>
          <w:szCs w:val="22"/>
        </w:rPr>
        <w:t>complete</w:t>
      </w:r>
      <w:r w:rsidRPr="006C6C4F">
        <w:rPr>
          <w:sz w:val="22"/>
          <w:szCs w:val="22"/>
        </w:rPr>
        <w:t xml:space="preserve">, </w:t>
      </w:r>
      <w:bookmarkStart w:id="12" w:name="_Hlk517191003"/>
      <w:r w:rsidRPr="006C6C4F">
        <w:rPr>
          <w:sz w:val="22"/>
          <w:szCs w:val="22"/>
        </w:rPr>
        <w:t xml:space="preserve">once again the relevant registers are checked to ensure the information is correct and </w:t>
      </w:r>
      <w:r w:rsidR="001400DE">
        <w:rPr>
          <w:sz w:val="22"/>
          <w:szCs w:val="22"/>
        </w:rPr>
        <w:t>complete</w:t>
      </w:r>
      <w:r w:rsidRPr="006C6C4F">
        <w:rPr>
          <w:sz w:val="22"/>
          <w:szCs w:val="22"/>
        </w:rPr>
        <w:t>,</w:t>
      </w:r>
      <w:r w:rsidR="001400DE">
        <w:rPr>
          <w:sz w:val="22"/>
          <w:szCs w:val="22"/>
        </w:rPr>
        <w:t xml:space="preserve"> before</w:t>
      </w:r>
      <w:r w:rsidRPr="006C6C4F">
        <w:rPr>
          <w:sz w:val="22"/>
          <w:szCs w:val="22"/>
        </w:rPr>
        <w:t xml:space="preserve"> a decision</w:t>
      </w:r>
      <w:r w:rsidR="001400DE">
        <w:rPr>
          <w:sz w:val="22"/>
          <w:szCs w:val="22"/>
        </w:rPr>
        <w:t xml:space="preserve"> is taken</w:t>
      </w:r>
      <w:r w:rsidRPr="006C6C4F">
        <w:rPr>
          <w:sz w:val="22"/>
          <w:szCs w:val="22"/>
        </w:rPr>
        <w:t>:</w:t>
      </w:r>
      <w:r w:rsidRPr="00505A7A">
        <w:rPr>
          <w:rStyle w:val="FootnoteReference"/>
        </w:rPr>
        <w:footnoteReference w:id="60"/>
      </w:r>
      <w:r w:rsidRPr="006C6C4F">
        <w:rPr>
          <w:sz w:val="22"/>
          <w:szCs w:val="22"/>
        </w:rPr>
        <w:t xml:space="preserve"> the Register of Legal Entities; the Register of Aliens; the Population </w:t>
      </w:r>
      <w:r w:rsidRPr="0075160F">
        <w:rPr>
          <w:sz w:val="22"/>
          <w:szCs w:val="22"/>
        </w:rPr>
        <w:t xml:space="preserve">Register; the </w:t>
      </w:r>
      <w:r w:rsidR="00F827CB" w:rsidRPr="00505A7A">
        <w:rPr>
          <w:sz w:val="22"/>
          <w:szCs w:val="22"/>
        </w:rPr>
        <w:t>Real Estate Register</w:t>
      </w:r>
      <w:r w:rsidRPr="0075160F">
        <w:rPr>
          <w:sz w:val="22"/>
          <w:szCs w:val="22"/>
        </w:rPr>
        <w:t>; Information</w:t>
      </w:r>
      <w:r w:rsidRPr="006C6C4F">
        <w:rPr>
          <w:sz w:val="22"/>
          <w:szCs w:val="22"/>
        </w:rPr>
        <w:t xml:space="preserve"> system of the State Social Insurance Fund Board.</w:t>
      </w:r>
      <w:bookmarkEnd w:id="12"/>
      <w:r w:rsidRPr="006C6C4F">
        <w:rPr>
          <w:sz w:val="22"/>
          <w:szCs w:val="22"/>
        </w:rPr>
        <w:t xml:space="preserve"> </w:t>
      </w:r>
    </w:p>
    <w:p w14:paraId="3B474ED4" w14:textId="77777777" w:rsidR="00FD0755" w:rsidRPr="006C6C4F" w:rsidRDefault="00FD0755" w:rsidP="00AE78BA">
      <w:pPr>
        <w:autoSpaceDE w:val="0"/>
        <w:autoSpaceDN w:val="0"/>
        <w:adjustRightInd w:val="0"/>
        <w:jc w:val="both"/>
        <w:rPr>
          <w:sz w:val="22"/>
          <w:szCs w:val="22"/>
        </w:rPr>
      </w:pPr>
    </w:p>
    <w:p w14:paraId="39A7EF9C" w14:textId="314A4FCC" w:rsidR="00BE2760" w:rsidRPr="006C6C4F" w:rsidRDefault="00FD0755" w:rsidP="00AE78BA">
      <w:pPr>
        <w:autoSpaceDE w:val="0"/>
        <w:autoSpaceDN w:val="0"/>
        <w:adjustRightInd w:val="0"/>
        <w:jc w:val="both"/>
        <w:rPr>
          <w:sz w:val="22"/>
          <w:szCs w:val="22"/>
        </w:rPr>
      </w:pPr>
      <w:bookmarkStart w:id="13" w:name="_Hlk517191081"/>
      <w:r w:rsidRPr="006C6C4F">
        <w:rPr>
          <w:sz w:val="22"/>
          <w:szCs w:val="22"/>
        </w:rPr>
        <w:t>Besides the specific requirements for minimum investment, to employ local workers and to run a genuine business stated in Articles 45.1(1) and 45.1(2</w:t>
      </w:r>
      <w:r w:rsidRPr="006C6C4F">
        <w:rPr>
          <w:sz w:val="22"/>
          <w:szCs w:val="22"/>
          <w:vertAlign w:val="superscript"/>
        </w:rPr>
        <w:t>1</w:t>
      </w:r>
      <w:r w:rsidRPr="006C6C4F">
        <w:rPr>
          <w:sz w:val="22"/>
          <w:szCs w:val="22"/>
        </w:rPr>
        <w:t xml:space="preserve">) LLSA, there are additional general criteria that investors need to meet to obtain a </w:t>
      </w:r>
      <w:r w:rsidR="00A66B39">
        <w:rPr>
          <w:sz w:val="22"/>
          <w:szCs w:val="22"/>
        </w:rPr>
        <w:t>TRP</w:t>
      </w:r>
      <w:r w:rsidRPr="006C6C4F">
        <w:rPr>
          <w:sz w:val="22"/>
          <w:szCs w:val="22"/>
        </w:rPr>
        <w:t xml:space="preserve">. The foreigner must meet the </w:t>
      </w:r>
      <w:r w:rsidR="00051808">
        <w:rPr>
          <w:sz w:val="22"/>
          <w:szCs w:val="22"/>
        </w:rPr>
        <w:t xml:space="preserve">relevant </w:t>
      </w:r>
      <w:r w:rsidRPr="006C6C4F">
        <w:rPr>
          <w:sz w:val="22"/>
          <w:szCs w:val="22"/>
        </w:rPr>
        <w:t xml:space="preserve">arrival conditions as </w:t>
      </w:r>
      <w:r w:rsidRPr="006C6C4F">
        <w:rPr>
          <w:sz w:val="22"/>
          <w:szCs w:val="22"/>
        </w:rPr>
        <w:lastRenderedPageBreak/>
        <w:t xml:space="preserve">provided in the </w:t>
      </w:r>
      <w:r w:rsidR="00051808" w:rsidRPr="00051808">
        <w:rPr>
          <w:sz w:val="22"/>
          <w:szCs w:val="22"/>
        </w:rPr>
        <w:t>Schengen Borders Code</w:t>
      </w:r>
      <w:r w:rsidR="00F826D4" w:rsidRPr="00505A7A">
        <w:rPr>
          <w:rStyle w:val="FootnoteReference"/>
        </w:rPr>
        <w:footnoteReference w:id="61"/>
      </w:r>
      <w:r w:rsidRPr="006C6C4F">
        <w:rPr>
          <w:sz w:val="22"/>
          <w:szCs w:val="22"/>
        </w:rPr>
        <w:t>; have a valid health insurance; sufficient financial income to sustain themselves while in Lithuania; have a suitable accommodation in Lithuania; supply a list of the places s/he has lived abroad or travelled outside Lithuania; and supply information about their past and present relationships and links with the persons residing in Lithuania and with any foreign intelligence, security or military agencies.</w:t>
      </w:r>
      <w:r w:rsidRPr="00505A7A">
        <w:rPr>
          <w:rStyle w:val="FootnoteReference"/>
        </w:rPr>
        <w:footnoteReference w:id="62"/>
      </w:r>
      <w:bookmarkEnd w:id="13"/>
      <w:r w:rsidRPr="006C6C4F">
        <w:rPr>
          <w:sz w:val="22"/>
          <w:szCs w:val="22"/>
        </w:rPr>
        <w:t xml:space="preserve"> </w:t>
      </w:r>
    </w:p>
    <w:p w14:paraId="7AA01048" w14:textId="77777777" w:rsidR="00BE2760" w:rsidRPr="006C6C4F" w:rsidRDefault="00BE2760" w:rsidP="007D682A">
      <w:pPr>
        <w:rPr>
          <w:sz w:val="22"/>
          <w:szCs w:val="22"/>
        </w:rPr>
      </w:pPr>
    </w:p>
    <w:p w14:paraId="699D8779" w14:textId="322B282F" w:rsidR="007D682A" w:rsidRDefault="00FD0755" w:rsidP="007D682A">
      <w:pPr>
        <w:rPr>
          <w:sz w:val="22"/>
          <w:szCs w:val="22"/>
        </w:rPr>
      </w:pPr>
      <w:r w:rsidRPr="006C6C4F">
        <w:rPr>
          <w:sz w:val="22"/>
          <w:szCs w:val="22"/>
        </w:rPr>
        <w:t>Therefore</w:t>
      </w:r>
      <w:r w:rsidR="00947A64" w:rsidRPr="006C6C4F">
        <w:rPr>
          <w:sz w:val="22"/>
          <w:szCs w:val="22"/>
        </w:rPr>
        <w:t>, the</w:t>
      </w:r>
      <w:r w:rsidR="007D682A" w:rsidRPr="006C6C4F">
        <w:rPr>
          <w:sz w:val="22"/>
          <w:szCs w:val="22"/>
        </w:rPr>
        <w:t xml:space="preserve"> </w:t>
      </w:r>
      <w:r w:rsidR="00947A64" w:rsidRPr="006C6C4F">
        <w:rPr>
          <w:sz w:val="22"/>
          <w:szCs w:val="22"/>
        </w:rPr>
        <w:t>following are checked by the Migration Department</w:t>
      </w:r>
      <w:r w:rsidR="007D682A" w:rsidRPr="006C6C4F">
        <w:rPr>
          <w:sz w:val="22"/>
          <w:szCs w:val="22"/>
        </w:rPr>
        <w:t>:</w:t>
      </w:r>
      <w:r w:rsidR="002D77E2" w:rsidRPr="00505A7A">
        <w:rPr>
          <w:rStyle w:val="FootnoteReference"/>
        </w:rPr>
        <w:footnoteReference w:id="63"/>
      </w:r>
    </w:p>
    <w:p w14:paraId="5B632DC2" w14:textId="33E5072A" w:rsidR="007D682A" w:rsidRPr="006C6C4F" w:rsidRDefault="007D682A" w:rsidP="00547627">
      <w:pPr>
        <w:pStyle w:val="MMultileveltable"/>
        <w:ind w:left="426"/>
      </w:pPr>
      <w:r w:rsidRPr="006C6C4F">
        <w:t>Lithuanian national second generation Schengen Information System</w:t>
      </w:r>
      <w:r w:rsidR="00BE2760" w:rsidRPr="006C6C4F">
        <w:t>: that another Schengen country has not issued a prohibition for the foreigner to enter or to reside, or a war</w:t>
      </w:r>
      <w:r w:rsidR="001400DE">
        <w:t>n</w:t>
      </w:r>
      <w:r w:rsidR="00BE2760" w:rsidRPr="006C6C4F">
        <w:t>ing to check the person concerned;</w:t>
      </w:r>
      <w:r w:rsidR="00BE2760" w:rsidRPr="00DE4C72">
        <w:rPr>
          <w:rStyle w:val="FootnoteReference"/>
        </w:rPr>
        <w:footnoteReference w:id="64"/>
      </w:r>
    </w:p>
    <w:p w14:paraId="06DF4E89" w14:textId="77777777" w:rsidR="00767092" w:rsidRPr="006C6C4F" w:rsidRDefault="00767092" w:rsidP="00547627">
      <w:pPr>
        <w:pStyle w:val="MMultileveltable"/>
        <w:ind w:left="426"/>
      </w:pPr>
      <w:r w:rsidRPr="006C6C4F">
        <w:t xml:space="preserve">Register of Aliens: whether the foreigner is in the list of the persons </w:t>
      </w:r>
      <w:bookmarkStart w:id="14" w:name="_Hlk517205049"/>
      <w:r w:rsidRPr="006C6C4F">
        <w:t>prohibited from residing in Lithuania</w:t>
      </w:r>
      <w:bookmarkEnd w:id="14"/>
      <w:r w:rsidRPr="006C6C4F">
        <w:t>;</w:t>
      </w:r>
      <w:r w:rsidRPr="00DE4C72">
        <w:rPr>
          <w:rStyle w:val="FootnoteReference"/>
        </w:rPr>
        <w:footnoteReference w:id="65"/>
      </w:r>
    </w:p>
    <w:p w14:paraId="3FD49631" w14:textId="77777777" w:rsidR="00BE2760" w:rsidRPr="006C6C4F" w:rsidRDefault="00BE2760" w:rsidP="00547627">
      <w:pPr>
        <w:pStyle w:val="MMultileveltable"/>
        <w:ind w:left="426"/>
      </w:pPr>
      <w:r w:rsidRPr="006C6C4F">
        <w:t>Register of Administrative Offences</w:t>
      </w:r>
      <w:r w:rsidR="007D51E0" w:rsidRPr="00DE4C72">
        <w:rPr>
          <w:rStyle w:val="FootnoteReference"/>
        </w:rPr>
        <w:footnoteReference w:id="66"/>
      </w:r>
    </w:p>
    <w:p w14:paraId="5992A706" w14:textId="77777777" w:rsidR="00BE2760" w:rsidRPr="006C6C4F" w:rsidRDefault="00BE2760" w:rsidP="00547627">
      <w:pPr>
        <w:pStyle w:val="MMultileveltable"/>
        <w:ind w:left="426"/>
      </w:pPr>
      <w:r w:rsidRPr="006C6C4F">
        <w:t>Register of Suspected, Accused and Convicted Persons</w:t>
      </w:r>
      <w:r w:rsidR="00285C69" w:rsidRPr="00DE4C72">
        <w:rPr>
          <w:rStyle w:val="FootnoteReference"/>
        </w:rPr>
        <w:footnoteReference w:id="67"/>
      </w:r>
    </w:p>
    <w:p w14:paraId="6A1E671F" w14:textId="77777777" w:rsidR="00146D7F" w:rsidRPr="006C6C4F" w:rsidRDefault="00146D7F" w:rsidP="00547627">
      <w:pPr>
        <w:pStyle w:val="MMultileveltable"/>
        <w:ind w:left="426"/>
      </w:pPr>
      <w:r w:rsidRPr="006C6C4F">
        <w:t>Register of Application of Preventive Sanctions</w:t>
      </w:r>
      <w:r w:rsidRPr="00DE4C72">
        <w:rPr>
          <w:rStyle w:val="FootnoteReference"/>
        </w:rPr>
        <w:footnoteReference w:id="68"/>
      </w:r>
    </w:p>
    <w:p w14:paraId="2B66F737" w14:textId="77777777" w:rsidR="00BE2760" w:rsidRPr="006C6C4F" w:rsidRDefault="00BE2760" w:rsidP="00547627">
      <w:pPr>
        <w:pStyle w:val="MMultileveltable"/>
        <w:ind w:left="426"/>
      </w:pPr>
      <w:r w:rsidRPr="006C6C4F">
        <w:t>Departmental Register of Wanted Persons, Unidentified Bodies and Unknown Helpless Persons</w:t>
      </w:r>
      <w:r w:rsidR="0044576C" w:rsidRPr="00DE4C72">
        <w:rPr>
          <w:rStyle w:val="FootnoteReference"/>
        </w:rPr>
        <w:footnoteReference w:id="69"/>
      </w:r>
    </w:p>
    <w:p w14:paraId="2826C27D" w14:textId="77777777" w:rsidR="00BE2760" w:rsidRPr="006C6C4F" w:rsidRDefault="00BE2760" w:rsidP="00547627">
      <w:pPr>
        <w:pStyle w:val="MMultileveltable"/>
        <w:ind w:left="426"/>
      </w:pPr>
      <w:r w:rsidRPr="006C6C4F">
        <w:t>Database of Interpol General Secretariat</w:t>
      </w:r>
      <w:r w:rsidR="007D05D6" w:rsidRPr="00DE4C72">
        <w:rPr>
          <w:rStyle w:val="FootnoteReference"/>
        </w:rPr>
        <w:footnoteReference w:id="70"/>
      </w:r>
    </w:p>
    <w:p w14:paraId="71FFF027" w14:textId="77777777" w:rsidR="007D05D6" w:rsidRPr="006C6C4F" w:rsidRDefault="003F4FC9" w:rsidP="00547627">
      <w:pPr>
        <w:pStyle w:val="MMultileveltable"/>
        <w:ind w:left="426"/>
      </w:pPr>
      <w:r w:rsidRPr="006C6C4F">
        <w:t>Checks on the i</w:t>
      </w:r>
      <w:r w:rsidR="007D05D6" w:rsidRPr="006C6C4F">
        <w:t>nformation system of the State Social Insurance Fund Board</w:t>
      </w:r>
      <w:r w:rsidR="007D05D6" w:rsidRPr="00DE4C72">
        <w:rPr>
          <w:rStyle w:val="FootnoteReference"/>
        </w:rPr>
        <w:footnoteReference w:id="71"/>
      </w:r>
    </w:p>
    <w:p w14:paraId="02ACF199" w14:textId="77777777" w:rsidR="00C4691B" w:rsidRPr="006C6C4F" w:rsidRDefault="00AB6CF2" w:rsidP="00547627">
      <w:pPr>
        <w:pStyle w:val="MMultileveltable"/>
        <w:ind w:left="426"/>
      </w:pPr>
      <w:r w:rsidRPr="006C6C4F">
        <w:t xml:space="preserve">Queries with </w:t>
      </w:r>
      <w:r w:rsidR="00C4691B" w:rsidRPr="006C6C4F">
        <w:t>State Tax Inspectorate</w:t>
      </w:r>
      <w:r w:rsidR="00CB1C21" w:rsidRPr="006C6C4F">
        <w:t>: to check whether there is money</w:t>
      </w:r>
      <w:r w:rsidR="00D95AC8" w:rsidRPr="006C6C4F">
        <w:t>(if any)</w:t>
      </w:r>
      <w:r w:rsidR="00CB1C21" w:rsidRPr="006C6C4F">
        <w:t xml:space="preserve"> owed to the state</w:t>
      </w:r>
      <w:r w:rsidR="00CB1C21" w:rsidRPr="00DE4C72">
        <w:rPr>
          <w:rStyle w:val="FootnoteReference"/>
        </w:rPr>
        <w:footnoteReference w:id="72"/>
      </w:r>
    </w:p>
    <w:p w14:paraId="3FBD1D93" w14:textId="77777777" w:rsidR="00C00133" w:rsidRPr="006C6C4F" w:rsidRDefault="00AB6CF2" w:rsidP="00547627">
      <w:pPr>
        <w:pStyle w:val="MMultileveltable"/>
        <w:ind w:left="426"/>
      </w:pPr>
      <w:r w:rsidRPr="006C6C4F">
        <w:t xml:space="preserve">Queries with </w:t>
      </w:r>
      <w:r w:rsidR="00C00133" w:rsidRPr="006C6C4F">
        <w:t xml:space="preserve">Kaunas Territorial Customs Office: check </w:t>
      </w:r>
      <w:bookmarkStart w:id="15" w:name="_Hlk517205149"/>
      <w:r w:rsidR="00C00133" w:rsidRPr="006C6C4F">
        <w:t xml:space="preserve">whether </w:t>
      </w:r>
      <w:r w:rsidR="00EF24D4" w:rsidRPr="006C6C4F">
        <w:t>al</w:t>
      </w:r>
      <w:r w:rsidR="001400DE">
        <w:t>l</w:t>
      </w:r>
      <w:r w:rsidR="00EF24D4" w:rsidRPr="006C6C4F">
        <w:t xml:space="preserve"> customs duties (if any) have been fulfilled</w:t>
      </w:r>
      <w:bookmarkEnd w:id="15"/>
      <w:r w:rsidR="00EF24D4" w:rsidRPr="006C6C4F">
        <w:t>.</w:t>
      </w:r>
      <w:r w:rsidR="00D95AC8" w:rsidRPr="00DE4C72">
        <w:rPr>
          <w:rStyle w:val="FootnoteReference"/>
        </w:rPr>
        <w:footnoteReference w:id="73"/>
      </w:r>
    </w:p>
    <w:p w14:paraId="55246393" w14:textId="77777777" w:rsidR="00C40C99" w:rsidRPr="006C6C4F" w:rsidRDefault="00C40C99" w:rsidP="00547627">
      <w:pPr>
        <w:pStyle w:val="MMultileveltable"/>
        <w:ind w:left="426"/>
      </w:pPr>
      <w:r w:rsidRPr="006C6C4F">
        <w:t xml:space="preserve">If the applicant </w:t>
      </w:r>
      <w:r w:rsidR="00FB7278" w:rsidRPr="006C6C4F">
        <w:t>declared an</w:t>
      </w:r>
      <w:r w:rsidRPr="006C6C4F">
        <w:t xml:space="preserve"> ill</w:t>
      </w:r>
      <w:r w:rsidR="00FB7278" w:rsidRPr="006C6C4F">
        <w:t>ness</w:t>
      </w:r>
      <w:r w:rsidRPr="006C6C4F">
        <w:t>: to check if the</w:t>
      </w:r>
      <w:r w:rsidR="00FB7278" w:rsidRPr="006C6C4F">
        <w:t>ir</w:t>
      </w:r>
      <w:r w:rsidRPr="006C6C4F">
        <w:t xml:space="preserve"> </w:t>
      </w:r>
      <w:r w:rsidR="00FB7278" w:rsidRPr="006C6C4F">
        <w:t xml:space="preserve">medical </w:t>
      </w:r>
      <w:r w:rsidRPr="006C6C4F">
        <w:t>condition could cause</w:t>
      </w:r>
      <w:r w:rsidR="001400DE">
        <w:t xml:space="preserve"> a</w:t>
      </w:r>
      <w:r w:rsidRPr="006C6C4F">
        <w:t xml:space="preserve"> threat to public health.</w:t>
      </w:r>
      <w:r w:rsidR="00FB7278" w:rsidRPr="00DE4C72">
        <w:rPr>
          <w:rStyle w:val="FootnoteReference"/>
        </w:rPr>
        <w:footnoteReference w:id="74"/>
      </w:r>
    </w:p>
    <w:p w14:paraId="700CE0B5" w14:textId="77777777" w:rsidR="00D6333D" w:rsidRPr="006C6C4F" w:rsidRDefault="00AB6CF2" w:rsidP="00547627">
      <w:pPr>
        <w:pStyle w:val="MMultileveltable"/>
        <w:ind w:left="426"/>
      </w:pPr>
      <w:r w:rsidRPr="006C6C4F">
        <w:t xml:space="preserve">Queries with </w:t>
      </w:r>
      <w:r w:rsidR="00D6333D" w:rsidRPr="006C6C4F">
        <w:t>State Border Guard Service</w:t>
      </w:r>
      <w:r w:rsidR="00C50D2D" w:rsidRPr="006C6C4F">
        <w:t>, State Se</w:t>
      </w:r>
      <w:r w:rsidR="00D275BF" w:rsidRPr="006C6C4F">
        <w:t>c</w:t>
      </w:r>
      <w:r w:rsidR="00C50D2D" w:rsidRPr="006C6C4F">
        <w:t>urity Department</w:t>
      </w:r>
      <w:r w:rsidR="00A10578" w:rsidRPr="006C6C4F">
        <w:t xml:space="preserve"> and Police Department</w:t>
      </w:r>
      <w:r w:rsidR="00D6333D" w:rsidRPr="006C6C4F">
        <w:t xml:space="preserve">: to establish </w:t>
      </w:r>
      <w:bookmarkStart w:id="16" w:name="_Hlk517205216"/>
      <w:r w:rsidR="00D6333D" w:rsidRPr="006C6C4F">
        <w:t>whether a foreigner is in Lithuania legally and</w:t>
      </w:r>
      <w:r w:rsidR="00D275BF" w:rsidRPr="006C6C4F">
        <w:t xml:space="preserve"> does not present a threat to pu</w:t>
      </w:r>
      <w:r w:rsidR="00D6333D" w:rsidRPr="006C6C4F">
        <w:t>blic order</w:t>
      </w:r>
      <w:r w:rsidR="002A3204" w:rsidRPr="006C6C4F">
        <w:t>/security</w:t>
      </w:r>
      <w:bookmarkEnd w:id="16"/>
      <w:r w:rsidR="00D6333D" w:rsidRPr="006C6C4F">
        <w:t>.</w:t>
      </w:r>
      <w:r w:rsidR="00D6333D" w:rsidRPr="00DE4C72">
        <w:rPr>
          <w:rStyle w:val="FootnoteReference"/>
        </w:rPr>
        <w:footnoteReference w:id="75"/>
      </w:r>
    </w:p>
    <w:p w14:paraId="39156595" w14:textId="77777777" w:rsidR="007D682A" w:rsidRPr="006C6C4F" w:rsidRDefault="007D682A" w:rsidP="00AE78BA">
      <w:pPr>
        <w:jc w:val="both"/>
        <w:rPr>
          <w:sz w:val="22"/>
          <w:szCs w:val="22"/>
        </w:rPr>
      </w:pPr>
    </w:p>
    <w:p w14:paraId="04E6D947" w14:textId="607D085D" w:rsidR="003976D1" w:rsidRDefault="00772B87" w:rsidP="00AE78BA">
      <w:pPr>
        <w:jc w:val="both"/>
        <w:rPr>
          <w:sz w:val="22"/>
          <w:szCs w:val="22"/>
        </w:rPr>
      </w:pPr>
      <w:bookmarkStart w:id="17" w:name="_Hlk517191259"/>
      <w:r w:rsidRPr="006C6C4F">
        <w:rPr>
          <w:sz w:val="22"/>
          <w:szCs w:val="22"/>
        </w:rPr>
        <w:t>Before</w:t>
      </w:r>
      <w:r w:rsidR="003976D1" w:rsidRPr="006C6C4F">
        <w:rPr>
          <w:sz w:val="22"/>
          <w:szCs w:val="22"/>
        </w:rPr>
        <w:t xml:space="preserve"> issuing/renewing the </w:t>
      </w:r>
      <w:r w:rsidR="00A66B39">
        <w:rPr>
          <w:sz w:val="22"/>
          <w:szCs w:val="22"/>
        </w:rPr>
        <w:t>TRP</w:t>
      </w:r>
      <w:r w:rsidR="00FD0755" w:rsidRPr="006C6C4F">
        <w:rPr>
          <w:sz w:val="22"/>
          <w:szCs w:val="22"/>
        </w:rPr>
        <w:t xml:space="preserve"> for foreign investors</w:t>
      </w:r>
      <w:r w:rsidR="003976D1" w:rsidRPr="006C6C4F">
        <w:rPr>
          <w:sz w:val="22"/>
          <w:szCs w:val="22"/>
        </w:rPr>
        <w:t xml:space="preserve">, state authorities must assess whether the company in which the investor holds shares or which s/he leads, is not fictitious </w:t>
      </w:r>
      <w:bookmarkEnd w:id="17"/>
      <w:r w:rsidR="003976D1" w:rsidRPr="006C6C4F">
        <w:rPr>
          <w:sz w:val="22"/>
          <w:szCs w:val="22"/>
        </w:rPr>
        <w:t>(Article 45.5 LLSA)</w:t>
      </w:r>
      <w:r w:rsidR="003976D1" w:rsidRPr="006C6C4F">
        <w:t>.</w:t>
      </w:r>
      <w:r w:rsidR="003C6F44" w:rsidRPr="006C6C4F">
        <w:rPr>
          <w:sz w:val="22"/>
          <w:szCs w:val="22"/>
        </w:rPr>
        <w:t xml:space="preserve"> </w:t>
      </w:r>
      <w:r w:rsidR="003976D1" w:rsidRPr="006C6C4F">
        <w:rPr>
          <w:sz w:val="22"/>
          <w:szCs w:val="22"/>
        </w:rPr>
        <w:t>This is regulated by</w:t>
      </w:r>
      <w:r w:rsidR="003C6F44" w:rsidRPr="006C6C4F">
        <w:rPr>
          <w:sz w:val="22"/>
          <w:szCs w:val="22"/>
        </w:rPr>
        <w:t xml:space="preserve"> Articles 100-100.12 TRP Rules and involves checking </w:t>
      </w:r>
      <w:r w:rsidR="003C7432" w:rsidRPr="006C6C4F">
        <w:rPr>
          <w:sz w:val="22"/>
          <w:szCs w:val="22"/>
        </w:rPr>
        <w:t>whether</w:t>
      </w:r>
      <w:r w:rsidR="003C6F44" w:rsidRPr="006C6C4F">
        <w:rPr>
          <w:sz w:val="22"/>
          <w:szCs w:val="22"/>
        </w:rPr>
        <w:t>:</w:t>
      </w:r>
      <w:r w:rsidR="003C6F44" w:rsidRPr="00DE4C72">
        <w:rPr>
          <w:rStyle w:val="FootnoteReference"/>
        </w:rPr>
        <w:footnoteReference w:id="76"/>
      </w:r>
    </w:p>
    <w:p w14:paraId="272A2B99" w14:textId="77777777" w:rsidR="003976D1" w:rsidRPr="006C6C4F" w:rsidRDefault="003C6F44" w:rsidP="00547627">
      <w:pPr>
        <w:pStyle w:val="MMultileveltable"/>
        <w:ind w:left="426"/>
      </w:pPr>
      <w:r w:rsidRPr="006C6C4F">
        <w:t>The foreign investor can answer the questions related to their company’s activity;</w:t>
      </w:r>
    </w:p>
    <w:p w14:paraId="17D745E8" w14:textId="77777777" w:rsidR="003C6F44" w:rsidRPr="006C6C4F" w:rsidRDefault="003C6F44" w:rsidP="00547627">
      <w:pPr>
        <w:pStyle w:val="MMultileveltable"/>
        <w:ind w:left="426"/>
      </w:pPr>
      <w:r w:rsidRPr="006C6C4F">
        <w:t>The investor has the required professional qualification or experience to run the business</w:t>
      </w:r>
      <w:r w:rsidR="008C3D58" w:rsidRPr="006C6C4F">
        <w:t>;</w:t>
      </w:r>
    </w:p>
    <w:p w14:paraId="38A18709" w14:textId="77777777" w:rsidR="008C3D58" w:rsidRPr="006C6C4F" w:rsidRDefault="003C6F44" w:rsidP="00547627">
      <w:pPr>
        <w:pStyle w:val="MMultileveltable"/>
        <w:ind w:left="426"/>
      </w:pPr>
      <w:r w:rsidRPr="006C6C4F">
        <w:t xml:space="preserve">The main purpose of </w:t>
      </w:r>
      <w:r w:rsidR="008C3D58" w:rsidRPr="006C6C4F">
        <w:t>their residence is work</w:t>
      </w:r>
      <w:r w:rsidR="003C7432" w:rsidRPr="006C6C4F">
        <w:t>ing</w:t>
      </w:r>
      <w:r w:rsidR="008C3D58" w:rsidRPr="006C6C4F">
        <w:t xml:space="preserve"> in the business;</w:t>
      </w:r>
    </w:p>
    <w:p w14:paraId="27C62F20" w14:textId="77777777" w:rsidR="008C3D58" w:rsidRPr="006C6C4F" w:rsidRDefault="008C3D58" w:rsidP="00547627">
      <w:pPr>
        <w:pStyle w:val="MMultileveltable"/>
        <w:ind w:left="426"/>
      </w:pPr>
      <w:r w:rsidRPr="006C6C4F">
        <w:t>The investor can provide proof that the company is genuinely engaged in economic activity;</w:t>
      </w:r>
    </w:p>
    <w:p w14:paraId="790AA3B5" w14:textId="77777777" w:rsidR="008C3D58" w:rsidRPr="006C6C4F" w:rsidRDefault="003C7432" w:rsidP="00547627">
      <w:pPr>
        <w:pStyle w:val="MMultileveltable"/>
        <w:ind w:left="426"/>
      </w:pPr>
      <w:r w:rsidRPr="006C6C4F">
        <w:t>T</w:t>
      </w:r>
      <w:r w:rsidR="008C3D58" w:rsidRPr="006C6C4F">
        <w:t xml:space="preserve">he company is </w:t>
      </w:r>
      <w:r w:rsidRPr="006C6C4F">
        <w:t xml:space="preserve">not </w:t>
      </w:r>
      <w:r w:rsidR="008C3D58" w:rsidRPr="006C6C4F">
        <w:t>registered at an address that is frequently used for registering companies of other foreign investors;</w:t>
      </w:r>
    </w:p>
    <w:p w14:paraId="283742BA" w14:textId="77777777" w:rsidR="008C3D58" w:rsidRPr="006C6C4F" w:rsidRDefault="008C3D58" w:rsidP="00547627">
      <w:pPr>
        <w:pStyle w:val="MMultileveltable"/>
        <w:ind w:left="426"/>
      </w:pPr>
      <w:r w:rsidRPr="006C6C4F">
        <w:t xml:space="preserve">The registered company is paying </w:t>
      </w:r>
      <w:r w:rsidR="00970EEF" w:rsidRPr="006C6C4F">
        <w:t xml:space="preserve">the </w:t>
      </w:r>
      <w:r w:rsidRPr="006C6C4F">
        <w:t>relevant taxes.</w:t>
      </w:r>
    </w:p>
    <w:p w14:paraId="2004E5A2" w14:textId="4643CA3D" w:rsidR="0050285D" w:rsidRPr="006C6C4F" w:rsidRDefault="00274F60" w:rsidP="00505A7A">
      <w:pPr>
        <w:autoSpaceDE w:val="0"/>
        <w:autoSpaceDN w:val="0"/>
        <w:adjustRightInd w:val="0"/>
        <w:jc w:val="both"/>
        <w:rPr>
          <w:sz w:val="22"/>
          <w:szCs w:val="22"/>
        </w:rPr>
      </w:pPr>
      <w:bookmarkStart w:id="18" w:name="_Hlk517191289"/>
      <w:r w:rsidRPr="006C6C4F">
        <w:rPr>
          <w:sz w:val="22"/>
          <w:szCs w:val="22"/>
        </w:rPr>
        <w:lastRenderedPageBreak/>
        <w:t>If there is suspicion that a company may be fictitious, a</w:t>
      </w:r>
      <w:r w:rsidR="00A266DB" w:rsidRPr="006C6C4F">
        <w:rPr>
          <w:sz w:val="22"/>
          <w:szCs w:val="22"/>
        </w:rPr>
        <w:t xml:space="preserve"> civil servant at the Migration Department has the power to </w:t>
      </w:r>
      <w:r w:rsidRPr="006C6C4F">
        <w:rPr>
          <w:sz w:val="22"/>
          <w:szCs w:val="22"/>
        </w:rPr>
        <w:t>collect further evidence/investigate</w:t>
      </w:r>
      <w:r w:rsidR="00995929">
        <w:rPr>
          <w:sz w:val="22"/>
          <w:szCs w:val="22"/>
        </w:rPr>
        <w:t xml:space="preserve">. </w:t>
      </w:r>
      <w:bookmarkEnd w:id="18"/>
      <w:r w:rsidR="00995929">
        <w:rPr>
          <w:sz w:val="22"/>
          <w:szCs w:val="22"/>
        </w:rPr>
        <w:t>I</w:t>
      </w:r>
      <w:r w:rsidR="00F827CB">
        <w:rPr>
          <w:sz w:val="22"/>
          <w:szCs w:val="22"/>
        </w:rPr>
        <w:t>t</w:t>
      </w:r>
      <w:r w:rsidR="00995929">
        <w:rPr>
          <w:sz w:val="22"/>
          <w:szCs w:val="22"/>
        </w:rPr>
        <w:t xml:space="preserve"> can do so</w:t>
      </w:r>
      <w:r w:rsidRPr="006C6C4F">
        <w:rPr>
          <w:sz w:val="22"/>
          <w:szCs w:val="22"/>
        </w:rPr>
        <w:t xml:space="preserve"> by </w:t>
      </w:r>
      <w:r w:rsidR="00A266DB" w:rsidRPr="006C6C4F">
        <w:rPr>
          <w:sz w:val="22"/>
          <w:szCs w:val="22"/>
        </w:rPr>
        <w:t>interview</w:t>
      </w:r>
      <w:r w:rsidRPr="006C6C4F">
        <w:rPr>
          <w:sz w:val="22"/>
          <w:szCs w:val="22"/>
        </w:rPr>
        <w:t>ing</w:t>
      </w:r>
      <w:r w:rsidR="00A266DB" w:rsidRPr="006C6C4F">
        <w:rPr>
          <w:sz w:val="22"/>
          <w:szCs w:val="22"/>
        </w:rPr>
        <w:t xml:space="preserve"> the TRP applicant</w:t>
      </w:r>
      <w:r w:rsidR="00995929">
        <w:rPr>
          <w:sz w:val="22"/>
          <w:szCs w:val="22"/>
        </w:rPr>
        <w:t>;</w:t>
      </w:r>
      <w:r w:rsidR="00A266DB" w:rsidRPr="006C6C4F">
        <w:rPr>
          <w:sz w:val="22"/>
          <w:szCs w:val="22"/>
        </w:rPr>
        <w:t xml:space="preserve"> </w:t>
      </w:r>
      <w:r w:rsidR="00FD0755" w:rsidRPr="006C6C4F">
        <w:rPr>
          <w:sz w:val="22"/>
          <w:szCs w:val="22"/>
        </w:rPr>
        <w:t xml:space="preserve">by </w:t>
      </w:r>
      <w:r w:rsidR="00A266DB" w:rsidRPr="006C6C4F">
        <w:rPr>
          <w:sz w:val="22"/>
          <w:szCs w:val="22"/>
        </w:rPr>
        <w:t>speak</w:t>
      </w:r>
      <w:r w:rsidRPr="006C6C4F">
        <w:rPr>
          <w:sz w:val="22"/>
          <w:szCs w:val="22"/>
        </w:rPr>
        <w:t>ing</w:t>
      </w:r>
      <w:r w:rsidR="00A266DB" w:rsidRPr="006C6C4F">
        <w:rPr>
          <w:sz w:val="22"/>
          <w:szCs w:val="22"/>
        </w:rPr>
        <w:t xml:space="preserve"> to the company employees</w:t>
      </w:r>
      <w:r w:rsidR="00995929">
        <w:rPr>
          <w:sz w:val="22"/>
          <w:szCs w:val="22"/>
        </w:rPr>
        <w:t>;</w:t>
      </w:r>
      <w:r w:rsidR="00A266DB" w:rsidRPr="006C6C4F">
        <w:rPr>
          <w:sz w:val="22"/>
          <w:szCs w:val="22"/>
        </w:rPr>
        <w:t xml:space="preserve"> visit</w:t>
      </w:r>
      <w:r w:rsidRPr="006C6C4F">
        <w:rPr>
          <w:sz w:val="22"/>
          <w:szCs w:val="22"/>
        </w:rPr>
        <w:t>ing</w:t>
      </w:r>
      <w:r w:rsidR="00A266DB" w:rsidRPr="006C6C4F">
        <w:rPr>
          <w:sz w:val="22"/>
          <w:szCs w:val="22"/>
        </w:rPr>
        <w:t xml:space="preserve"> the registered </w:t>
      </w:r>
      <w:r w:rsidR="00537ADF" w:rsidRPr="006C6C4F">
        <w:rPr>
          <w:sz w:val="22"/>
          <w:szCs w:val="22"/>
        </w:rPr>
        <w:t xml:space="preserve">address </w:t>
      </w:r>
      <w:r w:rsidR="00A266DB" w:rsidRPr="006C6C4F">
        <w:rPr>
          <w:sz w:val="22"/>
          <w:szCs w:val="22"/>
        </w:rPr>
        <w:t xml:space="preserve">or </w:t>
      </w:r>
      <w:r w:rsidR="00537ADF" w:rsidRPr="006C6C4F">
        <w:rPr>
          <w:sz w:val="22"/>
          <w:szCs w:val="22"/>
        </w:rPr>
        <w:t xml:space="preserve">the </w:t>
      </w:r>
      <w:r w:rsidR="00A266DB" w:rsidRPr="006C6C4F">
        <w:rPr>
          <w:sz w:val="22"/>
          <w:szCs w:val="22"/>
        </w:rPr>
        <w:t>actual place of business</w:t>
      </w:r>
      <w:r w:rsidR="00995929">
        <w:rPr>
          <w:sz w:val="22"/>
          <w:szCs w:val="22"/>
        </w:rPr>
        <w:t xml:space="preserve">; </w:t>
      </w:r>
      <w:r w:rsidR="00A266DB" w:rsidRPr="006C6C4F">
        <w:rPr>
          <w:sz w:val="22"/>
          <w:szCs w:val="22"/>
        </w:rPr>
        <w:t>and fil</w:t>
      </w:r>
      <w:r w:rsidRPr="006C6C4F">
        <w:rPr>
          <w:sz w:val="22"/>
          <w:szCs w:val="22"/>
        </w:rPr>
        <w:t>ing</w:t>
      </w:r>
      <w:r w:rsidR="00A266DB" w:rsidRPr="006C6C4F">
        <w:rPr>
          <w:sz w:val="22"/>
          <w:szCs w:val="22"/>
        </w:rPr>
        <w:t xml:space="preserve"> requests about </w:t>
      </w:r>
      <w:r w:rsidR="00BB07F0" w:rsidRPr="006C6C4F">
        <w:rPr>
          <w:sz w:val="22"/>
          <w:szCs w:val="22"/>
        </w:rPr>
        <w:t>the company’s</w:t>
      </w:r>
      <w:r w:rsidR="00A266DB" w:rsidRPr="006C6C4F">
        <w:rPr>
          <w:sz w:val="22"/>
          <w:szCs w:val="22"/>
        </w:rPr>
        <w:t xml:space="preserve"> activities with other state institutions and bodies.</w:t>
      </w:r>
      <w:r w:rsidR="00A266DB" w:rsidRPr="00505A7A">
        <w:rPr>
          <w:rStyle w:val="FootnoteReference"/>
        </w:rPr>
        <w:footnoteReference w:id="77"/>
      </w:r>
      <w:r w:rsidR="00990E53">
        <w:rPr>
          <w:sz w:val="22"/>
          <w:szCs w:val="22"/>
        </w:rPr>
        <w:t xml:space="preserve"> </w:t>
      </w:r>
      <w:r w:rsidR="00990E53" w:rsidRPr="00990E53">
        <w:rPr>
          <w:sz w:val="22"/>
          <w:szCs w:val="22"/>
        </w:rPr>
        <w:t>The interview can be done in writing (by the TRP applicant filling in the survey form) and/or orally (where the oral interview is either voice-recorded or the officer writes up an interview protocol).</w:t>
      </w:r>
      <w:r w:rsidR="00990E53" w:rsidRPr="00505A7A">
        <w:rPr>
          <w:rStyle w:val="FootnoteReference"/>
        </w:rPr>
        <w:footnoteReference w:id="78"/>
      </w:r>
      <w:r w:rsidR="00990E53" w:rsidRPr="00990E53">
        <w:rPr>
          <w:sz w:val="22"/>
          <w:szCs w:val="22"/>
        </w:rPr>
        <w:t xml:space="preserve"> The TRP applicant is invited </w:t>
      </w:r>
      <w:r w:rsidR="00990E53">
        <w:rPr>
          <w:sz w:val="22"/>
          <w:szCs w:val="22"/>
        </w:rPr>
        <w:t>for an interview</w:t>
      </w:r>
      <w:r w:rsidR="00990E53" w:rsidRPr="00990E53">
        <w:rPr>
          <w:sz w:val="22"/>
          <w:szCs w:val="22"/>
        </w:rPr>
        <w:t xml:space="preserve"> to the relevant migration office in person, and a failure to show up is regarded as a ground to believe that the company s/he directs or had invested in is fictitious.</w:t>
      </w:r>
      <w:r w:rsidR="00990E53" w:rsidRPr="00505A7A">
        <w:rPr>
          <w:rStyle w:val="FootnoteReference"/>
        </w:rPr>
        <w:footnoteReference w:id="79"/>
      </w:r>
    </w:p>
    <w:p w14:paraId="76EA2987" w14:textId="77777777" w:rsidR="00A266DB" w:rsidRPr="006C6C4F" w:rsidRDefault="00A266DB" w:rsidP="0050285D">
      <w:pPr>
        <w:autoSpaceDE w:val="0"/>
        <w:autoSpaceDN w:val="0"/>
        <w:adjustRightInd w:val="0"/>
        <w:rPr>
          <w:bCs/>
          <w:sz w:val="22"/>
          <w:szCs w:val="22"/>
        </w:rPr>
      </w:pPr>
    </w:p>
    <w:p w14:paraId="10480A4B" w14:textId="729D1BBF" w:rsidR="00114D9C" w:rsidRPr="006C6C4F" w:rsidRDefault="007770E5" w:rsidP="00D03FF9">
      <w:pPr>
        <w:pStyle w:val="MMultilevel"/>
        <w:numPr>
          <w:ilvl w:val="0"/>
          <w:numId w:val="15"/>
        </w:numPr>
        <w:rPr>
          <w:b/>
          <w:lang w:val="en-GB"/>
        </w:rPr>
      </w:pPr>
      <w:bookmarkStart w:id="19" w:name="_Hlk517191300"/>
      <w:r>
        <w:rPr>
          <w:b/>
          <w:lang w:val="en-GB"/>
        </w:rPr>
        <w:t>M</w:t>
      </w:r>
      <w:r w:rsidR="00566441" w:rsidRPr="006C6C4F">
        <w:rPr>
          <w:b/>
          <w:lang w:val="en-GB"/>
        </w:rPr>
        <w:t>aking of a decision</w:t>
      </w:r>
      <w:bookmarkEnd w:id="19"/>
      <w:r w:rsidR="00566441" w:rsidRPr="006C6C4F">
        <w:rPr>
          <w:b/>
          <w:lang w:val="en-GB"/>
        </w:rPr>
        <w:t>: Articles 106-</w:t>
      </w:r>
      <w:r w:rsidR="00EB79D2" w:rsidRPr="006C6C4F">
        <w:rPr>
          <w:b/>
          <w:lang w:val="en-GB"/>
        </w:rPr>
        <w:t>110</w:t>
      </w:r>
      <w:r w:rsidR="00566441" w:rsidRPr="006C6C4F">
        <w:rPr>
          <w:b/>
          <w:lang w:val="en-GB"/>
        </w:rPr>
        <w:t xml:space="preserve"> TRP Rules</w:t>
      </w:r>
    </w:p>
    <w:p w14:paraId="36BFA89A" w14:textId="77777777" w:rsidR="00A33C87" w:rsidRPr="006C6C4F" w:rsidRDefault="00A33C87" w:rsidP="00A33C87">
      <w:pPr>
        <w:pStyle w:val="ListParagraph"/>
        <w:rPr>
          <w:szCs w:val="22"/>
        </w:rPr>
      </w:pPr>
    </w:p>
    <w:p w14:paraId="71B3EF1D" w14:textId="763C9948" w:rsidR="005123CD" w:rsidRPr="006C6C4F" w:rsidRDefault="005123CD" w:rsidP="00AE78BA">
      <w:pPr>
        <w:jc w:val="both"/>
        <w:rPr>
          <w:sz w:val="22"/>
          <w:szCs w:val="22"/>
        </w:rPr>
      </w:pPr>
      <w:r w:rsidRPr="006C6C4F">
        <w:rPr>
          <w:sz w:val="22"/>
          <w:szCs w:val="22"/>
        </w:rPr>
        <w:t xml:space="preserve">The decision whether to issue a </w:t>
      </w:r>
      <w:r w:rsidR="00A66B39">
        <w:rPr>
          <w:sz w:val="22"/>
          <w:szCs w:val="22"/>
        </w:rPr>
        <w:t>TRP</w:t>
      </w:r>
      <w:r w:rsidRPr="006C6C4F">
        <w:rPr>
          <w:sz w:val="22"/>
          <w:szCs w:val="22"/>
        </w:rPr>
        <w:t xml:space="preserve"> is to be </w:t>
      </w:r>
      <w:r w:rsidR="007770E5">
        <w:rPr>
          <w:sz w:val="22"/>
          <w:szCs w:val="22"/>
        </w:rPr>
        <w:t>made</w:t>
      </w:r>
      <w:r w:rsidR="007770E5" w:rsidRPr="006C6C4F">
        <w:rPr>
          <w:sz w:val="22"/>
          <w:szCs w:val="22"/>
        </w:rPr>
        <w:t xml:space="preserve"> </w:t>
      </w:r>
      <w:r w:rsidRPr="006C6C4F">
        <w:rPr>
          <w:sz w:val="22"/>
          <w:szCs w:val="22"/>
        </w:rPr>
        <w:t xml:space="preserve">by the appropriate institution no later than within two months from the date </w:t>
      </w:r>
      <w:r w:rsidR="00403450" w:rsidRPr="006C6C4F">
        <w:rPr>
          <w:sz w:val="22"/>
          <w:szCs w:val="22"/>
        </w:rPr>
        <w:t>the application was filed</w:t>
      </w:r>
      <w:r w:rsidRPr="006C6C4F">
        <w:rPr>
          <w:sz w:val="22"/>
          <w:szCs w:val="22"/>
        </w:rPr>
        <w:t>.</w:t>
      </w:r>
      <w:r w:rsidR="00403450" w:rsidRPr="00505A7A">
        <w:rPr>
          <w:rStyle w:val="FootnoteReference"/>
        </w:rPr>
        <w:footnoteReference w:id="80"/>
      </w:r>
      <w:r w:rsidRPr="006C6C4F">
        <w:rPr>
          <w:sz w:val="22"/>
          <w:szCs w:val="22"/>
        </w:rPr>
        <w:t xml:space="preserve"> </w:t>
      </w:r>
      <w:r w:rsidR="00E2091C" w:rsidRPr="006C6C4F">
        <w:rPr>
          <w:sz w:val="22"/>
          <w:szCs w:val="22"/>
        </w:rPr>
        <w:t>It is possible to request an urgent decision for a higher fee;</w:t>
      </w:r>
      <w:r w:rsidR="007A0E03" w:rsidRPr="00505A7A">
        <w:rPr>
          <w:rStyle w:val="FootnoteReference"/>
        </w:rPr>
        <w:footnoteReference w:id="81"/>
      </w:r>
      <w:r w:rsidR="00E2091C" w:rsidRPr="006C6C4F">
        <w:rPr>
          <w:sz w:val="22"/>
          <w:szCs w:val="22"/>
        </w:rPr>
        <w:t xml:space="preserve"> then the decision term will be </w:t>
      </w:r>
      <w:r w:rsidR="00995929">
        <w:rPr>
          <w:sz w:val="22"/>
          <w:szCs w:val="22"/>
        </w:rPr>
        <w:t>half as long (</w:t>
      </w:r>
      <w:r w:rsidR="00E2091C" w:rsidRPr="006C6C4F">
        <w:rPr>
          <w:sz w:val="22"/>
          <w:szCs w:val="22"/>
        </w:rPr>
        <w:t>one month</w:t>
      </w:r>
      <w:r w:rsidR="00995929">
        <w:rPr>
          <w:sz w:val="22"/>
          <w:szCs w:val="22"/>
        </w:rPr>
        <w:t>)</w:t>
      </w:r>
      <w:r w:rsidR="00E2091C" w:rsidRPr="006C6C4F">
        <w:rPr>
          <w:sz w:val="22"/>
          <w:szCs w:val="22"/>
        </w:rPr>
        <w:t>.</w:t>
      </w:r>
      <w:r w:rsidR="00E2091C" w:rsidRPr="00505A7A">
        <w:rPr>
          <w:rStyle w:val="FootnoteReference"/>
        </w:rPr>
        <w:footnoteReference w:id="82"/>
      </w:r>
    </w:p>
    <w:p w14:paraId="1EE91D34" w14:textId="77777777" w:rsidR="00601E0D" w:rsidRPr="006C6C4F" w:rsidRDefault="00601E0D" w:rsidP="00AE78BA">
      <w:pPr>
        <w:jc w:val="both"/>
        <w:rPr>
          <w:sz w:val="22"/>
          <w:szCs w:val="22"/>
        </w:rPr>
      </w:pPr>
    </w:p>
    <w:p w14:paraId="70121C7E" w14:textId="5D070076" w:rsidR="00601E0D" w:rsidRDefault="00601E0D" w:rsidP="00AE78BA">
      <w:pPr>
        <w:jc w:val="both"/>
        <w:rPr>
          <w:sz w:val="22"/>
          <w:szCs w:val="22"/>
        </w:rPr>
      </w:pPr>
      <w:bookmarkStart w:id="20" w:name="_Hlk517202167"/>
      <w:r w:rsidRPr="006C6C4F">
        <w:rPr>
          <w:sz w:val="22"/>
          <w:szCs w:val="22"/>
        </w:rPr>
        <w:t xml:space="preserve">The Migration Department civil servant who assesses </w:t>
      </w:r>
      <w:r w:rsidR="00DC773C" w:rsidRPr="006C6C4F">
        <w:rPr>
          <w:sz w:val="22"/>
          <w:szCs w:val="22"/>
        </w:rPr>
        <w:t>the</w:t>
      </w:r>
      <w:r w:rsidRPr="006C6C4F">
        <w:rPr>
          <w:sz w:val="22"/>
          <w:szCs w:val="22"/>
        </w:rPr>
        <w:t xml:space="preserve"> application can make the following recommendations</w:t>
      </w:r>
      <w:r w:rsidR="00202E4B" w:rsidRPr="006C6C4F">
        <w:rPr>
          <w:sz w:val="22"/>
          <w:szCs w:val="22"/>
        </w:rPr>
        <w:t xml:space="preserve"> and prepares a draft decision</w:t>
      </w:r>
      <w:r w:rsidR="00F778FB" w:rsidRPr="006C6C4F">
        <w:rPr>
          <w:sz w:val="22"/>
          <w:szCs w:val="22"/>
        </w:rPr>
        <w:t xml:space="preserve"> text</w:t>
      </w:r>
      <w:r w:rsidRPr="006C6C4F">
        <w:rPr>
          <w:sz w:val="22"/>
          <w:szCs w:val="22"/>
        </w:rPr>
        <w:t>:</w:t>
      </w:r>
      <w:r w:rsidR="00FC2162" w:rsidRPr="00505A7A">
        <w:rPr>
          <w:rStyle w:val="FootnoteReference"/>
        </w:rPr>
        <w:footnoteReference w:id="83"/>
      </w:r>
    </w:p>
    <w:p w14:paraId="01DC0E5B" w14:textId="77777777" w:rsidR="00601E0D" w:rsidRPr="006C6C4F" w:rsidRDefault="00601E0D" w:rsidP="00547627">
      <w:pPr>
        <w:pStyle w:val="MMultileveltable"/>
        <w:ind w:left="426"/>
      </w:pPr>
      <w:r w:rsidRPr="006C6C4F">
        <w:t xml:space="preserve">To issue </w:t>
      </w:r>
      <w:r w:rsidR="00995929">
        <w:t xml:space="preserve">a </w:t>
      </w:r>
      <w:r w:rsidRPr="006C6C4F">
        <w:t>TRP</w:t>
      </w:r>
    </w:p>
    <w:p w14:paraId="721F60D8" w14:textId="77777777" w:rsidR="00601E0D" w:rsidRPr="006C6C4F" w:rsidRDefault="00601E0D" w:rsidP="00547627">
      <w:pPr>
        <w:pStyle w:val="MMultileveltable"/>
        <w:ind w:left="426"/>
      </w:pPr>
      <w:r w:rsidRPr="006C6C4F">
        <w:t>To renew</w:t>
      </w:r>
      <w:r w:rsidR="00995929">
        <w:t xml:space="preserve"> a</w:t>
      </w:r>
      <w:r w:rsidRPr="006C6C4F">
        <w:t xml:space="preserve"> TRP</w:t>
      </w:r>
    </w:p>
    <w:p w14:paraId="38D3299F" w14:textId="77777777" w:rsidR="00601E0D" w:rsidRPr="006C6C4F" w:rsidRDefault="00601E0D" w:rsidP="00547627">
      <w:pPr>
        <w:pStyle w:val="MMultileveltable"/>
        <w:ind w:left="426"/>
      </w:pPr>
      <w:bookmarkStart w:id="21" w:name="_Hlk508604738"/>
      <w:r w:rsidRPr="006C6C4F">
        <w:t xml:space="preserve">Not to issue/renew </w:t>
      </w:r>
      <w:r w:rsidR="00995929">
        <w:t xml:space="preserve">a </w:t>
      </w:r>
      <w:r w:rsidRPr="006C6C4F">
        <w:t>TRP</w:t>
      </w:r>
      <w:bookmarkEnd w:id="20"/>
    </w:p>
    <w:bookmarkEnd w:id="21"/>
    <w:p w14:paraId="58A7B6A9" w14:textId="77777777" w:rsidR="00627BF9" w:rsidRDefault="00627BF9" w:rsidP="00AE78BA">
      <w:pPr>
        <w:jc w:val="both"/>
        <w:rPr>
          <w:sz w:val="22"/>
          <w:szCs w:val="22"/>
        </w:rPr>
      </w:pPr>
    </w:p>
    <w:p w14:paraId="116471B4" w14:textId="4E1AB2A4" w:rsidR="007D53FA" w:rsidRPr="006C6C4F" w:rsidRDefault="00D571A9" w:rsidP="00AE78BA">
      <w:pPr>
        <w:jc w:val="both"/>
        <w:rPr>
          <w:sz w:val="22"/>
          <w:szCs w:val="22"/>
        </w:rPr>
      </w:pPr>
      <w:r w:rsidRPr="006C6C4F">
        <w:rPr>
          <w:sz w:val="22"/>
          <w:szCs w:val="22"/>
        </w:rPr>
        <w:t xml:space="preserve">The Migration Department’s Director or the person authorised by the Director takes the final decision and </w:t>
      </w:r>
      <w:r w:rsidR="00F827CB">
        <w:rPr>
          <w:sz w:val="22"/>
          <w:szCs w:val="22"/>
        </w:rPr>
        <w:t>approves</w:t>
      </w:r>
      <w:r w:rsidRPr="006C6C4F">
        <w:rPr>
          <w:sz w:val="22"/>
          <w:szCs w:val="22"/>
        </w:rPr>
        <w:t xml:space="preserve"> the decision</w:t>
      </w:r>
      <w:r w:rsidR="00F778FB" w:rsidRPr="006C6C4F">
        <w:rPr>
          <w:sz w:val="22"/>
          <w:szCs w:val="22"/>
        </w:rPr>
        <w:t xml:space="preserve"> text</w:t>
      </w:r>
      <w:r w:rsidR="00F827CB">
        <w:rPr>
          <w:sz w:val="22"/>
          <w:szCs w:val="22"/>
        </w:rPr>
        <w:t xml:space="preserve"> with a signature</w:t>
      </w:r>
      <w:r w:rsidRPr="006C6C4F">
        <w:rPr>
          <w:sz w:val="22"/>
          <w:szCs w:val="22"/>
        </w:rPr>
        <w:t>.</w:t>
      </w:r>
      <w:r w:rsidRPr="00505A7A">
        <w:rPr>
          <w:rStyle w:val="FootnoteReference"/>
        </w:rPr>
        <w:footnoteReference w:id="84"/>
      </w:r>
      <w:r w:rsidR="007D53FA" w:rsidRPr="006C6C4F">
        <w:rPr>
          <w:sz w:val="22"/>
          <w:szCs w:val="22"/>
        </w:rPr>
        <w:t xml:space="preserve"> All decisions </w:t>
      </w:r>
      <w:r w:rsidR="00BF7822">
        <w:rPr>
          <w:sz w:val="22"/>
          <w:szCs w:val="22"/>
        </w:rPr>
        <w:t>must</w:t>
      </w:r>
      <w:r w:rsidR="00BF7822" w:rsidRPr="006C6C4F">
        <w:rPr>
          <w:sz w:val="22"/>
          <w:szCs w:val="22"/>
        </w:rPr>
        <w:t xml:space="preserve"> </w:t>
      </w:r>
      <w:r w:rsidR="007D53FA" w:rsidRPr="006C6C4F">
        <w:rPr>
          <w:sz w:val="22"/>
          <w:szCs w:val="22"/>
        </w:rPr>
        <w:t>be registered.</w:t>
      </w:r>
      <w:r w:rsidR="007D53FA" w:rsidRPr="00505A7A">
        <w:rPr>
          <w:rStyle w:val="FootnoteReference"/>
        </w:rPr>
        <w:footnoteReference w:id="85"/>
      </w:r>
    </w:p>
    <w:p w14:paraId="556ACE19" w14:textId="77777777" w:rsidR="005123CD" w:rsidRPr="006C6C4F" w:rsidRDefault="005123CD" w:rsidP="00557064">
      <w:pPr>
        <w:rPr>
          <w:szCs w:val="22"/>
        </w:rPr>
      </w:pPr>
    </w:p>
    <w:p w14:paraId="7D716866" w14:textId="77777777" w:rsidR="00114D9C" w:rsidRPr="006C6C4F" w:rsidRDefault="00114D9C" w:rsidP="00D03FF9">
      <w:pPr>
        <w:pStyle w:val="MMultilevel"/>
        <w:numPr>
          <w:ilvl w:val="0"/>
          <w:numId w:val="15"/>
        </w:numPr>
        <w:rPr>
          <w:b/>
          <w:lang w:val="en-GB"/>
        </w:rPr>
      </w:pPr>
      <w:bookmarkStart w:id="22" w:name="_Hlk517191320"/>
      <w:r w:rsidRPr="006C6C4F">
        <w:rPr>
          <w:b/>
          <w:lang w:val="en-GB"/>
        </w:rPr>
        <w:t>Dispatch of the decision taken to the applicant</w:t>
      </w:r>
      <w:bookmarkEnd w:id="22"/>
      <w:r w:rsidR="006A66DF" w:rsidRPr="006C6C4F">
        <w:rPr>
          <w:b/>
          <w:lang w:val="en-GB"/>
        </w:rPr>
        <w:t>: Articles 111-</w:t>
      </w:r>
      <w:r w:rsidR="003F5415" w:rsidRPr="006C6C4F">
        <w:rPr>
          <w:b/>
          <w:lang w:val="en-GB"/>
        </w:rPr>
        <w:t>118</w:t>
      </w:r>
      <w:r w:rsidR="00EB43AF" w:rsidRPr="006C6C4F">
        <w:rPr>
          <w:b/>
          <w:lang w:val="en-GB"/>
        </w:rPr>
        <w:t>, 131</w:t>
      </w:r>
      <w:r w:rsidR="006A66DF" w:rsidRPr="006C6C4F">
        <w:rPr>
          <w:b/>
          <w:lang w:val="en-GB"/>
        </w:rPr>
        <w:t xml:space="preserve"> TRP Rules</w:t>
      </w:r>
    </w:p>
    <w:p w14:paraId="02BF10A9" w14:textId="77777777" w:rsidR="00814F92" w:rsidRPr="006C6C4F" w:rsidRDefault="00814F92" w:rsidP="00814F92">
      <w:pPr>
        <w:pStyle w:val="ListParagraph"/>
        <w:ind w:left="0"/>
        <w:rPr>
          <w:szCs w:val="22"/>
        </w:rPr>
      </w:pPr>
    </w:p>
    <w:p w14:paraId="76EEE3C1" w14:textId="14A0B779" w:rsidR="00B06ABD" w:rsidRPr="006C6C4F" w:rsidRDefault="00B06ABD" w:rsidP="00814F92">
      <w:pPr>
        <w:pStyle w:val="ListParagraph"/>
        <w:ind w:left="0"/>
        <w:rPr>
          <w:szCs w:val="22"/>
        </w:rPr>
      </w:pPr>
      <w:bookmarkStart w:id="23" w:name="_Hlk517202347"/>
      <w:r w:rsidRPr="006C6C4F">
        <w:rPr>
          <w:szCs w:val="22"/>
        </w:rPr>
        <w:t xml:space="preserve">The decision </w:t>
      </w:r>
      <w:r w:rsidR="00ED5F3B" w:rsidRPr="006C6C4F">
        <w:rPr>
          <w:szCs w:val="22"/>
        </w:rPr>
        <w:t xml:space="preserve">to issue </w:t>
      </w:r>
      <w:r w:rsidR="00995929">
        <w:rPr>
          <w:szCs w:val="22"/>
        </w:rPr>
        <w:t>or to</w:t>
      </w:r>
      <w:r w:rsidR="00995929" w:rsidRPr="006C6C4F">
        <w:rPr>
          <w:szCs w:val="22"/>
        </w:rPr>
        <w:t xml:space="preserve"> </w:t>
      </w:r>
      <w:r w:rsidRPr="006C6C4F">
        <w:rPr>
          <w:szCs w:val="22"/>
        </w:rPr>
        <w:t>refus</w:t>
      </w:r>
      <w:r w:rsidR="00995929">
        <w:rPr>
          <w:szCs w:val="22"/>
        </w:rPr>
        <w:t>e</w:t>
      </w:r>
      <w:r w:rsidRPr="006C6C4F">
        <w:rPr>
          <w:szCs w:val="22"/>
        </w:rPr>
        <w:t xml:space="preserve"> to issue/renew a TRP is to be communicated </w:t>
      </w:r>
      <w:r w:rsidR="00ED5F3B" w:rsidRPr="006C6C4F">
        <w:rPr>
          <w:szCs w:val="22"/>
        </w:rPr>
        <w:t>within</w:t>
      </w:r>
      <w:r w:rsidRPr="006C6C4F">
        <w:rPr>
          <w:szCs w:val="22"/>
        </w:rPr>
        <w:t xml:space="preserve"> two working days</w:t>
      </w:r>
      <w:bookmarkEnd w:id="23"/>
      <w:r w:rsidRPr="006C6C4F">
        <w:rPr>
          <w:szCs w:val="22"/>
        </w:rPr>
        <w:t>.</w:t>
      </w:r>
      <w:r w:rsidR="00040B07" w:rsidRPr="00DE4C72">
        <w:rPr>
          <w:rStyle w:val="FootnoteReference"/>
        </w:rPr>
        <w:footnoteReference w:id="86"/>
      </w:r>
      <w:r w:rsidR="00AD2ED2" w:rsidRPr="006C6C4F">
        <w:rPr>
          <w:szCs w:val="22"/>
        </w:rPr>
        <w:t xml:space="preserve"> The Migration Department send</w:t>
      </w:r>
      <w:r w:rsidR="005C6CED" w:rsidRPr="006C6C4F">
        <w:rPr>
          <w:szCs w:val="22"/>
        </w:rPr>
        <w:t>s</w:t>
      </w:r>
      <w:r w:rsidR="00AD2ED2" w:rsidRPr="006C6C4F">
        <w:rPr>
          <w:szCs w:val="22"/>
        </w:rPr>
        <w:t xml:space="preserve"> the deci</w:t>
      </w:r>
      <w:r w:rsidR="0086313C" w:rsidRPr="006C6C4F">
        <w:rPr>
          <w:szCs w:val="22"/>
        </w:rPr>
        <w:t xml:space="preserve">sion </w:t>
      </w:r>
      <w:bookmarkStart w:id="24" w:name="_Hlk517202375"/>
      <w:r w:rsidR="0086313C" w:rsidRPr="006C6C4F">
        <w:rPr>
          <w:szCs w:val="22"/>
        </w:rPr>
        <w:t>directly to the applicant</w:t>
      </w:r>
      <w:bookmarkEnd w:id="24"/>
      <w:r w:rsidR="0086313C" w:rsidRPr="006C6C4F">
        <w:rPr>
          <w:szCs w:val="22"/>
        </w:rPr>
        <w:t>.</w:t>
      </w:r>
      <w:r w:rsidR="001C30D2" w:rsidRPr="00DE4C72">
        <w:rPr>
          <w:rStyle w:val="FootnoteReference"/>
        </w:rPr>
        <w:footnoteReference w:id="87"/>
      </w:r>
      <w:r w:rsidR="0086313C" w:rsidRPr="006C6C4F">
        <w:rPr>
          <w:szCs w:val="22"/>
        </w:rPr>
        <w:t xml:space="preserve"> For foreigners resid</w:t>
      </w:r>
      <w:r w:rsidR="00592693" w:rsidRPr="006C6C4F">
        <w:rPr>
          <w:szCs w:val="22"/>
        </w:rPr>
        <w:t>ing</w:t>
      </w:r>
      <w:r w:rsidR="0086313C" w:rsidRPr="006C6C4F">
        <w:rPr>
          <w:szCs w:val="22"/>
        </w:rPr>
        <w:t xml:space="preserve"> abroad, the decisi</w:t>
      </w:r>
      <w:r w:rsidR="004322FC" w:rsidRPr="006C6C4F">
        <w:rPr>
          <w:szCs w:val="22"/>
        </w:rPr>
        <w:t xml:space="preserve">on </w:t>
      </w:r>
      <w:r w:rsidR="00995929">
        <w:rPr>
          <w:szCs w:val="22"/>
        </w:rPr>
        <w:t>is</w:t>
      </w:r>
      <w:r w:rsidR="004322FC" w:rsidRPr="006C6C4F">
        <w:rPr>
          <w:szCs w:val="22"/>
        </w:rPr>
        <w:t xml:space="preserve"> communicated by </w:t>
      </w:r>
      <w:bookmarkStart w:id="25" w:name="_Hlk517202414"/>
      <w:r w:rsidR="004322FC" w:rsidRPr="006C6C4F">
        <w:rPr>
          <w:szCs w:val="22"/>
        </w:rPr>
        <w:t>the d</w:t>
      </w:r>
      <w:r w:rsidR="0086313C" w:rsidRPr="006C6C4F">
        <w:rPr>
          <w:szCs w:val="22"/>
        </w:rPr>
        <w:t xml:space="preserve">iplomatic mission or consular post </w:t>
      </w:r>
      <w:bookmarkEnd w:id="25"/>
      <w:r w:rsidR="0086313C" w:rsidRPr="006C6C4F">
        <w:rPr>
          <w:szCs w:val="22"/>
        </w:rPr>
        <w:t>of the Republic of Lithuania abroad</w:t>
      </w:r>
      <w:r w:rsidR="005D5304" w:rsidRPr="006C6C4F">
        <w:rPr>
          <w:szCs w:val="22"/>
        </w:rPr>
        <w:t>, where applicants will collect it</w:t>
      </w:r>
      <w:r w:rsidR="003F6797" w:rsidRPr="006C6C4F">
        <w:rPr>
          <w:szCs w:val="22"/>
        </w:rPr>
        <w:t>,</w:t>
      </w:r>
      <w:r w:rsidR="005D5304" w:rsidRPr="006C6C4F">
        <w:rPr>
          <w:szCs w:val="22"/>
        </w:rPr>
        <w:t xml:space="preserve"> or </w:t>
      </w:r>
      <w:r w:rsidR="00C40B55" w:rsidRPr="006C6C4F">
        <w:rPr>
          <w:szCs w:val="22"/>
        </w:rPr>
        <w:t xml:space="preserve">it </w:t>
      </w:r>
      <w:r w:rsidR="005D5304" w:rsidRPr="006C6C4F">
        <w:rPr>
          <w:szCs w:val="22"/>
        </w:rPr>
        <w:t>will be sen</w:t>
      </w:r>
      <w:r w:rsidR="00B61DF7" w:rsidRPr="006C6C4F">
        <w:rPr>
          <w:szCs w:val="22"/>
        </w:rPr>
        <w:t>t</w:t>
      </w:r>
      <w:r w:rsidR="005D5304" w:rsidRPr="006C6C4F">
        <w:rPr>
          <w:szCs w:val="22"/>
        </w:rPr>
        <w:t xml:space="preserve"> by post.</w:t>
      </w:r>
      <w:r w:rsidR="00B767CF" w:rsidRPr="00DE4C72">
        <w:rPr>
          <w:rStyle w:val="FootnoteReference"/>
        </w:rPr>
        <w:footnoteReference w:id="88"/>
      </w:r>
    </w:p>
    <w:p w14:paraId="45A46471" w14:textId="77777777" w:rsidR="00CF6966" w:rsidRPr="006C6C4F" w:rsidRDefault="00CF6966" w:rsidP="00814F92">
      <w:pPr>
        <w:pStyle w:val="ListParagraph"/>
        <w:ind w:left="0"/>
        <w:rPr>
          <w:szCs w:val="22"/>
        </w:rPr>
      </w:pPr>
    </w:p>
    <w:p w14:paraId="4EAE213C" w14:textId="6C4A97B5" w:rsidR="00CF6966" w:rsidRPr="006C6C4F" w:rsidRDefault="00CF6966" w:rsidP="00814F92">
      <w:pPr>
        <w:jc w:val="both"/>
      </w:pPr>
      <w:bookmarkStart w:id="26" w:name="_Hlk517202440"/>
      <w:r w:rsidRPr="006C6C4F">
        <w:rPr>
          <w:sz w:val="22"/>
          <w:szCs w:val="22"/>
        </w:rPr>
        <w:t xml:space="preserve">The </w:t>
      </w:r>
      <w:r w:rsidR="00995929">
        <w:rPr>
          <w:sz w:val="22"/>
          <w:szCs w:val="22"/>
        </w:rPr>
        <w:t>TRP</w:t>
      </w:r>
      <w:r w:rsidRPr="006C6C4F">
        <w:rPr>
          <w:sz w:val="22"/>
          <w:szCs w:val="22"/>
        </w:rPr>
        <w:t xml:space="preserve"> for </w:t>
      </w:r>
      <w:r w:rsidR="005D222A" w:rsidRPr="00A2190E">
        <w:rPr>
          <w:b/>
          <w:sz w:val="22"/>
          <w:szCs w:val="22"/>
        </w:rPr>
        <w:t>small</w:t>
      </w:r>
      <w:r w:rsidRPr="00A2190E">
        <w:rPr>
          <w:b/>
          <w:sz w:val="22"/>
          <w:szCs w:val="22"/>
        </w:rPr>
        <w:t xml:space="preserve"> foreign investors</w:t>
      </w:r>
      <w:r w:rsidRPr="006C6C4F">
        <w:rPr>
          <w:sz w:val="22"/>
          <w:szCs w:val="22"/>
        </w:rPr>
        <w:t xml:space="preserve">, as defined in Article 45.1(1) LLSA, is issued for </w:t>
      </w:r>
      <w:r w:rsidRPr="006C6C4F">
        <w:rPr>
          <w:b/>
          <w:sz w:val="22"/>
          <w:szCs w:val="22"/>
        </w:rPr>
        <w:t>two years</w:t>
      </w:r>
      <w:r w:rsidRPr="006C6C4F">
        <w:rPr>
          <w:sz w:val="22"/>
          <w:szCs w:val="22"/>
        </w:rPr>
        <w:t>, or for the duration of the business activity, when such acti</w:t>
      </w:r>
      <w:r w:rsidR="003412A5" w:rsidRPr="006C6C4F">
        <w:rPr>
          <w:sz w:val="22"/>
          <w:szCs w:val="22"/>
        </w:rPr>
        <w:t>vity lasts less than two years</w:t>
      </w:r>
      <w:r w:rsidRPr="006C6C4F">
        <w:rPr>
          <w:sz w:val="22"/>
          <w:szCs w:val="22"/>
        </w:rPr>
        <w:t>.</w:t>
      </w:r>
      <w:r w:rsidR="003412A5" w:rsidRPr="00505A7A">
        <w:rPr>
          <w:rStyle w:val="FootnoteReference"/>
        </w:rPr>
        <w:footnoteReference w:id="89"/>
      </w:r>
      <w:r w:rsidRPr="006C6C4F">
        <w:rPr>
          <w:sz w:val="22"/>
          <w:szCs w:val="22"/>
        </w:rPr>
        <w:t xml:space="preserve"> </w:t>
      </w:r>
    </w:p>
    <w:p w14:paraId="093DE101" w14:textId="77777777" w:rsidR="00CF6966" w:rsidRPr="006C6C4F" w:rsidRDefault="00CF6966" w:rsidP="00814F92">
      <w:pPr>
        <w:jc w:val="both"/>
        <w:rPr>
          <w:sz w:val="22"/>
          <w:szCs w:val="22"/>
        </w:rPr>
      </w:pPr>
    </w:p>
    <w:p w14:paraId="25ED8D8D" w14:textId="7D39F5CA" w:rsidR="00CF6966" w:rsidRPr="006C6C4F" w:rsidRDefault="00CF6966" w:rsidP="00814F92">
      <w:pPr>
        <w:jc w:val="both"/>
        <w:rPr>
          <w:sz w:val="22"/>
          <w:szCs w:val="22"/>
        </w:rPr>
      </w:pPr>
      <w:r w:rsidRPr="006C6C4F">
        <w:rPr>
          <w:sz w:val="22"/>
          <w:szCs w:val="22"/>
        </w:rPr>
        <w:t xml:space="preserve">The </w:t>
      </w:r>
      <w:r w:rsidR="00995929">
        <w:rPr>
          <w:sz w:val="22"/>
          <w:szCs w:val="22"/>
        </w:rPr>
        <w:t>TRP</w:t>
      </w:r>
      <w:r w:rsidRPr="006C6C4F">
        <w:rPr>
          <w:sz w:val="22"/>
          <w:szCs w:val="22"/>
        </w:rPr>
        <w:t xml:space="preserve"> for </w:t>
      </w:r>
      <w:r w:rsidR="003412A5" w:rsidRPr="00A2190E">
        <w:rPr>
          <w:b/>
          <w:sz w:val="22"/>
          <w:szCs w:val="22"/>
        </w:rPr>
        <w:t>medium</w:t>
      </w:r>
      <w:r w:rsidRPr="00A2190E">
        <w:rPr>
          <w:b/>
          <w:sz w:val="22"/>
          <w:szCs w:val="22"/>
        </w:rPr>
        <w:t xml:space="preserve"> foreign investors</w:t>
      </w:r>
      <w:r w:rsidR="009D2339" w:rsidRPr="006C6C4F">
        <w:rPr>
          <w:sz w:val="22"/>
          <w:szCs w:val="22"/>
        </w:rPr>
        <w:t xml:space="preserve"> </w:t>
      </w:r>
      <w:r w:rsidRPr="006C6C4F">
        <w:rPr>
          <w:sz w:val="22"/>
          <w:szCs w:val="22"/>
        </w:rPr>
        <w:t xml:space="preserve">is issued for </w:t>
      </w:r>
      <w:r w:rsidRPr="006C6C4F">
        <w:rPr>
          <w:b/>
          <w:sz w:val="22"/>
          <w:szCs w:val="22"/>
        </w:rPr>
        <w:t>three years</w:t>
      </w:r>
      <w:r w:rsidRPr="006C6C4F">
        <w:rPr>
          <w:sz w:val="22"/>
          <w:szCs w:val="22"/>
        </w:rPr>
        <w:t xml:space="preserve">, or for the duration of the business activity, when such activity lasts less than </w:t>
      </w:r>
      <w:r w:rsidR="00BA41C3" w:rsidRPr="006C6C4F">
        <w:rPr>
          <w:sz w:val="22"/>
          <w:szCs w:val="22"/>
        </w:rPr>
        <w:t>three years</w:t>
      </w:r>
      <w:r w:rsidRPr="006C6C4F">
        <w:rPr>
          <w:sz w:val="22"/>
          <w:szCs w:val="22"/>
        </w:rPr>
        <w:t>.</w:t>
      </w:r>
      <w:r w:rsidR="00BA41C3" w:rsidRPr="00505A7A">
        <w:rPr>
          <w:rStyle w:val="FootnoteReference"/>
        </w:rPr>
        <w:footnoteReference w:id="90"/>
      </w:r>
      <w:r w:rsidRPr="006C6C4F">
        <w:rPr>
          <w:sz w:val="22"/>
          <w:szCs w:val="22"/>
        </w:rPr>
        <w:t xml:space="preserve"> </w:t>
      </w:r>
      <w:bookmarkEnd w:id="26"/>
    </w:p>
    <w:p w14:paraId="255C17D1" w14:textId="77777777" w:rsidR="001757F4" w:rsidRPr="006C6C4F" w:rsidRDefault="001757F4" w:rsidP="001757F4">
      <w:pPr>
        <w:pStyle w:val="ListParagraph"/>
        <w:rPr>
          <w:szCs w:val="22"/>
        </w:rPr>
      </w:pPr>
    </w:p>
    <w:p w14:paraId="590A6C3D" w14:textId="77777777" w:rsidR="00F81D8B" w:rsidRPr="006C6C4F" w:rsidRDefault="00B34ED9" w:rsidP="00D03FF9">
      <w:pPr>
        <w:pStyle w:val="MMultilevel"/>
        <w:numPr>
          <w:ilvl w:val="0"/>
          <w:numId w:val="15"/>
        </w:numPr>
        <w:rPr>
          <w:b/>
          <w:lang w:val="en-GB"/>
        </w:rPr>
      </w:pPr>
      <w:bookmarkStart w:id="27" w:name="_Hlk517191337"/>
      <w:r w:rsidRPr="006C6C4F">
        <w:rPr>
          <w:b/>
          <w:lang w:val="en-GB"/>
        </w:rPr>
        <w:t>Processing</w:t>
      </w:r>
      <w:r w:rsidR="00114D9C" w:rsidRPr="006C6C4F">
        <w:rPr>
          <w:b/>
          <w:lang w:val="en-GB"/>
        </w:rPr>
        <w:t xml:space="preserve"> of a TRP </w:t>
      </w:r>
      <w:r w:rsidR="00F81D8B" w:rsidRPr="006C6C4F">
        <w:rPr>
          <w:b/>
          <w:lang w:val="en-GB"/>
        </w:rPr>
        <w:t xml:space="preserve">/ </w:t>
      </w:r>
      <w:r w:rsidR="00114D9C" w:rsidRPr="006C6C4F">
        <w:rPr>
          <w:b/>
          <w:lang w:val="en-GB"/>
        </w:rPr>
        <w:t>Appeal against a negative decision in a court</w:t>
      </w:r>
      <w:bookmarkEnd w:id="27"/>
      <w:r w:rsidR="008B3943" w:rsidRPr="006C6C4F">
        <w:rPr>
          <w:b/>
          <w:lang w:val="en-GB"/>
        </w:rPr>
        <w:t>: Articles 130</w:t>
      </w:r>
      <w:r w:rsidR="00EB43AF" w:rsidRPr="006C6C4F">
        <w:rPr>
          <w:b/>
          <w:lang w:val="en-GB"/>
        </w:rPr>
        <w:t>, 135</w:t>
      </w:r>
      <w:r w:rsidR="008B3943" w:rsidRPr="006C6C4F">
        <w:rPr>
          <w:b/>
          <w:lang w:val="en-GB"/>
        </w:rPr>
        <w:t>-</w:t>
      </w:r>
      <w:r w:rsidR="00744EFB" w:rsidRPr="006C6C4F">
        <w:rPr>
          <w:b/>
          <w:lang w:val="en-GB"/>
        </w:rPr>
        <w:t>142</w:t>
      </w:r>
      <w:r w:rsidR="0002450D" w:rsidRPr="006C6C4F">
        <w:rPr>
          <w:b/>
          <w:lang w:val="en-GB"/>
        </w:rPr>
        <w:t>, 151-161</w:t>
      </w:r>
      <w:r w:rsidR="00F71165" w:rsidRPr="006C6C4F">
        <w:rPr>
          <w:b/>
          <w:lang w:val="en-GB"/>
        </w:rPr>
        <w:t>, 168-184</w:t>
      </w:r>
      <w:r w:rsidR="008B3943" w:rsidRPr="006C6C4F">
        <w:rPr>
          <w:b/>
          <w:lang w:val="en-GB"/>
        </w:rPr>
        <w:t xml:space="preserve"> TRP Rules</w:t>
      </w:r>
    </w:p>
    <w:p w14:paraId="00B015BA" w14:textId="77777777" w:rsidR="00111056" w:rsidRPr="006C6C4F" w:rsidRDefault="00111056" w:rsidP="00AE78BA">
      <w:pPr>
        <w:jc w:val="both"/>
        <w:rPr>
          <w:sz w:val="22"/>
          <w:szCs w:val="22"/>
        </w:rPr>
      </w:pPr>
    </w:p>
    <w:p w14:paraId="7E3E3FF5" w14:textId="5FC62DEC" w:rsidR="00B34ED9" w:rsidRPr="006C6C4F" w:rsidRDefault="00657ACF" w:rsidP="00AE78BA">
      <w:pPr>
        <w:jc w:val="both"/>
        <w:rPr>
          <w:sz w:val="22"/>
          <w:szCs w:val="22"/>
        </w:rPr>
      </w:pPr>
      <w:bookmarkStart w:id="28" w:name="_Hlk517202500"/>
      <w:r w:rsidRPr="006C6C4F">
        <w:rPr>
          <w:sz w:val="22"/>
          <w:szCs w:val="22"/>
        </w:rPr>
        <w:t xml:space="preserve">Where the decision to issue a TRP </w:t>
      </w:r>
      <w:r w:rsidR="00995929">
        <w:rPr>
          <w:sz w:val="22"/>
          <w:szCs w:val="22"/>
        </w:rPr>
        <w:t>i</w:t>
      </w:r>
      <w:r w:rsidRPr="006C6C4F">
        <w:rPr>
          <w:sz w:val="22"/>
          <w:szCs w:val="22"/>
        </w:rPr>
        <w:t>s granted</w:t>
      </w:r>
      <w:r w:rsidR="003B59DC" w:rsidRPr="006C6C4F">
        <w:rPr>
          <w:sz w:val="22"/>
          <w:szCs w:val="22"/>
        </w:rPr>
        <w:t xml:space="preserve">, </w:t>
      </w:r>
      <w:r w:rsidR="004920C8" w:rsidRPr="006C6C4F">
        <w:rPr>
          <w:sz w:val="22"/>
          <w:szCs w:val="22"/>
        </w:rPr>
        <w:t>it is valid for three months.</w:t>
      </w:r>
      <w:r w:rsidR="004920C8" w:rsidRPr="00505A7A">
        <w:rPr>
          <w:rStyle w:val="FootnoteReference"/>
        </w:rPr>
        <w:footnoteReference w:id="91"/>
      </w:r>
      <w:r w:rsidR="004920C8" w:rsidRPr="006C6C4F">
        <w:rPr>
          <w:sz w:val="22"/>
          <w:szCs w:val="22"/>
        </w:rPr>
        <w:t xml:space="preserve"> During this time, </w:t>
      </w:r>
      <w:r w:rsidR="00D275BF" w:rsidRPr="006C6C4F">
        <w:rPr>
          <w:sz w:val="22"/>
          <w:szCs w:val="22"/>
        </w:rPr>
        <w:t>successful</w:t>
      </w:r>
      <w:r w:rsidR="00FD45A1" w:rsidRPr="006C6C4F">
        <w:rPr>
          <w:sz w:val="22"/>
          <w:szCs w:val="22"/>
        </w:rPr>
        <w:t xml:space="preserve"> applicants</w:t>
      </w:r>
      <w:r w:rsidR="00E0318E" w:rsidRPr="006C6C4F">
        <w:rPr>
          <w:sz w:val="22"/>
          <w:szCs w:val="22"/>
        </w:rPr>
        <w:t xml:space="preserve"> are required to lodge</w:t>
      </w:r>
      <w:r w:rsidR="003B59DC" w:rsidRPr="006C6C4F">
        <w:rPr>
          <w:sz w:val="22"/>
          <w:szCs w:val="22"/>
        </w:rPr>
        <w:t xml:space="preserve"> an application for </w:t>
      </w:r>
      <w:r w:rsidR="00FD45A1" w:rsidRPr="006C6C4F">
        <w:rPr>
          <w:sz w:val="22"/>
          <w:szCs w:val="22"/>
        </w:rPr>
        <w:t>processing</w:t>
      </w:r>
      <w:r w:rsidR="003E26F1" w:rsidRPr="006C6C4F">
        <w:rPr>
          <w:sz w:val="22"/>
          <w:szCs w:val="22"/>
        </w:rPr>
        <w:t xml:space="preserve"> </w:t>
      </w:r>
      <w:r w:rsidR="009D265B" w:rsidRPr="006C6C4F">
        <w:rPr>
          <w:sz w:val="22"/>
          <w:szCs w:val="22"/>
        </w:rPr>
        <w:t xml:space="preserve">of a TRP </w:t>
      </w:r>
      <w:r w:rsidRPr="006C6C4F">
        <w:rPr>
          <w:sz w:val="22"/>
          <w:szCs w:val="22"/>
        </w:rPr>
        <w:t>card</w:t>
      </w:r>
      <w:r w:rsidR="004920C8" w:rsidRPr="00505A7A">
        <w:rPr>
          <w:rStyle w:val="FootnoteReference"/>
        </w:rPr>
        <w:footnoteReference w:id="92"/>
      </w:r>
      <w:r w:rsidRPr="006C6C4F">
        <w:rPr>
          <w:sz w:val="22"/>
          <w:szCs w:val="22"/>
        </w:rPr>
        <w:t xml:space="preserve"> </w:t>
      </w:r>
      <w:r w:rsidR="009D265B" w:rsidRPr="006C6C4F">
        <w:rPr>
          <w:sz w:val="22"/>
          <w:szCs w:val="22"/>
        </w:rPr>
        <w:t xml:space="preserve">via </w:t>
      </w:r>
      <w:r w:rsidRPr="006C6C4F">
        <w:rPr>
          <w:sz w:val="22"/>
          <w:szCs w:val="22"/>
        </w:rPr>
        <w:t>the</w:t>
      </w:r>
      <w:r w:rsidR="009D265B" w:rsidRPr="006C6C4F">
        <w:rPr>
          <w:sz w:val="22"/>
          <w:szCs w:val="22"/>
        </w:rPr>
        <w:t xml:space="preserve"> m</w:t>
      </w:r>
      <w:r w:rsidR="003B59DC" w:rsidRPr="006C6C4F">
        <w:rPr>
          <w:sz w:val="22"/>
          <w:szCs w:val="22"/>
        </w:rPr>
        <w:t xml:space="preserve">igration </w:t>
      </w:r>
      <w:r w:rsidR="009D265B" w:rsidRPr="006C6C4F">
        <w:rPr>
          <w:sz w:val="22"/>
          <w:szCs w:val="22"/>
        </w:rPr>
        <w:t>office</w:t>
      </w:r>
      <w:r w:rsidRPr="006C6C4F">
        <w:rPr>
          <w:sz w:val="22"/>
          <w:szCs w:val="22"/>
        </w:rPr>
        <w:t xml:space="preserve"> of their dec</w:t>
      </w:r>
      <w:r w:rsidR="00707478" w:rsidRPr="006C6C4F">
        <w:rPr>
          <w:sz w:val="22"/>
          <w:szCs w:val="22"/>
        </w:rPr>
        <w:t>l</w:t>
      </w:r>
      <w:r w:rsidRPr="006C6C4F">
        <w:rPr>
          <w:sz w:val="22"/>
          <w:szCs w:val="22"/>
        </w:rPr>
        <w:t>ared residence</w:t>
      </w:r>
      <w:bookmarkEnd w:id="28"/>
      <w:r w:rsidR="00707478" w:rsidRPr="006C6C4F">
        <w:rPr>
          <w:sz w:val="22"/>
          <w:szCs w:val="22"/>
        </w:rPr>
        <w:t>.</w:t>
      </w:r>
      <w:r w:rsidR="00FD0755" w:rsidRPr="006C6C4F">
        <w:rPr>
          <w:sz w:val="22"/>
          <w:szCs w:val="22"/>
        </w:rPr>
        <w:t xml:space="preserve"> </w:t>
      </w:r>
      <w:r w:rsidR="00707478" w:rsidRPr="006C6C4F">
        <w:rPr>
          <w:sz w:val="22"/>
          <w:szCs w:val="22"/>
        </w:rPr>
        <w:t xml:space="preserve">This is done </w:t>
      </w:r>
      <w:r w:rsidRPr="006C6C4F">
        <w:rPr>
          <w:sz w:val="22"/>
          <w:szCs w:val="22"/>
        </w:rPr>
        <w:t>by sending a standard application form</w:t>
      </w:r>
      <w:r w:rsidR="00CB4A07" w:rsidRPr="006C6C4F">
        <w:rPr>
          <w:sz w:val="22"/>
          <w:szCs w:val="22"/>
        </w:rPr>
        <w:t xml:space="preserve"> and</w:t>
      </w:r>
      <w:r w:rsidR="00FD0755" w:rsidRPr="006C6C4F">
        <w:rPr>
          <w:sz w:val="22"/>
          <w:szCs w:val="22"/>
        </w:rPr>
        <w:t xml:space="preserve"> the receipt of the state fee</w:t>
      </w:r>
      <w:r w:rsidRPr="006C6C4F">
        <w:rPr>
          <w:sz w:val="22"/>
          <w:szCs w:val="22"/>
        </w:rPr>
        <w:t>,</w:t>
      </w:r>
      <w:r w:rsidR="00FD0755" w:rsidRPr="00D03FF9">
        <w:rPr>
          <w:rStyle w:val="FootnoteReference"/>
        </w:rPr>
        <w:footnoteReference w:id="93"/>
      </w:r>
      <w:r w:rsidR="00FD0755" w:rsidRPr="006C6C4F">
        <w:rPr>
          <w:sz w:val="22"/>
          <w:szCs w:val="22"/>
        </w:rPr>
        <w:t xml:space="preserve"> </w:t>
      </w:r>
      <w:r w:rsidRPr="006C6C4F">
        <w:rPr>
          <w:sz w:val="22"/>
          <w:szCs w:val="22"/>
        </w:rPr>
        <w:t>togethe</w:t>
      </w:r>
      <w:r w:rsidR="002166F9" w:rsidRPr="006C6C4F">
        <w:rPr>
          <w:sz w:val="22"/>
          <w:szCs w:val="22"/>
        </w:rPr>
        <w:t>r with other documents required</w:t>
      </w:r>
      <w:r w:rsidRPr="006C6C4F">
        <w:rPr>
          <w:sz w:val="22"/>
          <w:szCs w:val="22"/>
        </w:rPr>
        <w:t>.</w:t>
      </w:r>
      <w:r w:rsidR="002166F9" w:rsidRPr="00D03FF9">
        <w:rPr>
          <w:rStyle w:val="FootnoteReference"/>
        </w:rPr>
        <w:footnoteReference w:id="94"/>
      </w:r>
      <w:r w:rsidR="00707478" w:rsidRPr="006C6C4F">
        <w:rPr>
          <w:sz w:val="22"/>
          <w:szCs w:val="22"/>
        </w:rPr>
        <w:t xml:space="preserve"> The picture, fingerprints and signature </w:t>
      </w:r>
      <w:r w:rsidR="002E513B" w:rsidRPr="006C6C4F">
        <w:rPr>
          <w:sz w:val="22"/>
          <w:szCs w:val="22"/>
        </w:rPr>
        <w:t>is</w:t>
      </w:r>
      <w:r w:rsidR="00707478" w:rsidRPr="006C6C4F">
        <w:rPr>
          <w:sz w:val="22"/>
          <w:szCs w:val="22"/>
        </w:rPr>
        <w:t xml:space="preserve"> taken and a unique registration number is assigned</w:t>
      </w:r>
      <w:r w:rsidR="004D09D0" w:rsidRPr="00D03FF9">
        <w:rPr>
          <w:rStyle w:val="FootnoteReference"/>
        </w:rPr>
        <w:footnoteReference w:id="95"/>
      </w:r>
      <w:r w:rsidR="00707478" w:rsidRPr="006C6C4F">
        <w:rPr>
          <w:sz w:val="22"/>
          <w:szCs w:val="22"/>
        </w:rPr>
        <w:t xml:space="preserve"> to manufacture a TRP card.</w:t>
      </w:r>
      <w:r w:rsidR="00707478" w:rsidRPr="00D03FF9">
        <w:rPr>
          <w:rStyle w:val="FootnoteReference"/>
        </w:rPr>
        <w:footnoteReference w:id="96"/>
      </w:r>
    </w:p>
    <w:p w14:paraId="35288D78" w14:textId="77777777" w:rsidR="00B34ED9" w:rsidRPr="006C6C4F" w:rsidRDefault="00B34ED9" w:rsidP="00AE78BA">
      <w:pPr>
        <w:jc w:val="both"/>
        <w:rPr>
          <w:sz w:val="22"/>
          <w:szCs w:val="22"/>
        </w:rPr>
      </w:pPr>
    </w:p>
    <w:p w14:paraId="6FC81686" w14:textId="50DCAF08" w:rsidR="00646F90" w:rsidRPr="006C6C4F" w:rsidRDefault="00646F90" w:rsidP="00AE78BA">
      <w:pPr>
        <w:jc w:val="both"/>
        <w:rPr>
          <w:sz w:val="22"/>
          <w:szCs w:val="22"/>
        </w:rPr>
      </w:pPr>
      <w:bookmarkStart w:id="29" w:name="_Hlk517202541"/>
      <w:r w:rsidRPr="006C6C4F">
        <w:rPr>
          <w:sz w:val="22"/>
          <w:szCs w:val="22"/>
        </w:rPr>
        <w:t>A TRP is processed within 10 working days (general</w:t>
      </w:r>
      <w:r w:rsidR="00995929">
        <w:rPr>
          <w:sz w:val="22"/>
          <w:szCs w:val="22"/>
        </w:rPr>
        <w:t xml:space="preserve"> procedure</w:t>
      </w:r>
      <w:r w:rsidRPr="006C6C4F">
        <w:rPr>
          <w:sz w:val="22"/>
          <w:szCs w:val="22"/>
        </w:rPr>
        <w:t>) or within five working days (urgent</w:t>
      </w:r>
      <w:r w:rsidR="00995929">
        <w:rPr>
          <w:sz w:val="22"/>
          <w:szCs w:val="22"/>
        </w:rPr>
        <w:t xml:space="preserve"> procedure</w:t>
      </w:r>
      <w:r w:rsidRPr="006C6C4F">
        <w:rPr>
          <w:sz w:val="22"/>
          <w:szCs w:val="22"/>
        </w:rPr>
        <w:t>)</w:t>
      </w:r>
      <w:r w:rsidR="00B06B13" w:rsidRPr="006C6C4F">
        <w:rPr>
          <w:sz w:val="22"/>
          <w:szCs w:val="22"/>
        </w:rPr>
        <w:t xml:space="preserve"> from the request for processing </w:t>
      </w:r>
      <w:r w:rsidR="00995929" w:rsidRPr="006C6C4F">
        <w:rPr>
          <w:sz w:val="22"/>
          <w:szCs w:val="22"/>
        </w:rPr>
        <w:t>submi</w:t>
      </w:r>
      <w:r w:rsidR="00995929">
        <w:rPr>
          <w:sz w:val="22"/>
          <w:szCs w:val="22"/>
        </w:rPr>
        <w:t>tted</w:t>
      </w:r>
      <w:r w:rsidR="00995929" w:rsidRPr="006C6C4F">
        <w:rPr>
          <w:sz w:val="22"/>
          <w:szCs w:val="22"/>
        </w:rPr>
        <w:t xml:space="preserve"> </w:t>
      </w:r>
      <w:r w:rsidR="00B06B13" w:rsidRPr="006C6C4F">
        <w:rPr>
          <w:sz w:val="22"/>
          <w:szCs w:val="22"/>
        </w:rPr>
        <w:t xml:space="preserve">to the relevant </w:t>
      </w:r>
      <w:r w:rsidR="003A4F00" w:rsidRPr="006C6C4F">
        <w:rPr>
          <w:sz w:val="22"/>
          <w:szCs w:val="22"/>
        </w:rPr>
        <w:t>institution</w:t>
      </w:r>
      <w:r w:rsidR="00B06B13" w:rsidRPr="006C6C4F">
        <w:rPr>
          <w:sz w:val="22"/>
          <w:szCs w:val="22"/>
        </w:rPr>
        <w:t>.</w:t>
      </w:r>
      <w:r w:rsidRPr="004C4CE9">
        <w:rPr>
          <w:rStyle w:val="FootnoteReference"/>
        </w:rPr>
        <w:footnoteReference w:id="97"/>
      </w:r>
      <w:r w:rsidRPr="006C6C4F">
        <w:rPr>
          <w:sz w:val="22"/>
          <w:szCs w:val="22"/>
        </w:rPr>
        <w:t xml:space="preserve"> </w:t>
      </w:r>
    </w:p>
    <w:bookmarkEnd w:id="29"/>
    <w:p w14:paraId="6A14FC07" w14:textId="77777777" w:rsidR="00646F90" w:rsidRPr="006C6C4F" w:rsidRDefault="00646F90" w:rsidP="00AE78BA">
      <w:pPr>
        <w:jc w:val="both"/>
        <w:rPr>
          <w:sz w:val="22"/>
          <w:szCs w:val="22"/>
        </w:rPr>
      </w:pPr>
    </w:p>
    <w:p w14:paraId="4215815E" w14:textId="77777777" w:rsidR="00707478" w:rsidRPr="006C6C4F" w:rsidRDefault="00707478" w:rsidP="00AE78BA">
      <w:pPr>
        <w:jc w:val="both"/>
        <w:rPr>
          <w:sz w:val="22"/>
          <w:szCs w:val="22"/>
        </w:rPr>
      </w:pPr>
      <w:r w:rsidRPr="006C6C4F">
        <w:rPr>
          <w:sz w:val="22"/>
          <w:szCs w:val="22"/>
        </w:rPr>
        <w:t>The TRP card is issued by the Identity Documents Personalisation Centre at the Ministry of the Interior within six working days (general</w:t>
      </w:r>
      <w:r w:rsidR="00995929">
        <w:rPr>
          <w:sz w:val="22"/>
          <w:szCs w:val="22"/>
        </w:rPr>
        <w:t xml:space="preserve"> procedure</w:t>
      </w:r>
      <w:r w:rsidRPr="006C6C4F">
        <w:rPr>
          <w:sz w:val="22"/>
          <w:szCs w:val="22"/>
        </w:rPr>
        <w:t>) or within two working days</w:t>
      </w:r>
      <w:r w:rsidR="00995929">
        <w:rPr>
          <w:sz w:val="22"/>
          <w:szCs w:val="22"/>
        </w:rPr>
        <w:t xml:space="preserve"> (urgent procedure)</w:t>
      </w:r>
      <w:r w:rsidRPr="006C6C4F">
        <w:rPr>
          <w:sz w:val="22"/>
          <w:szCs w:val="22"/>
        </w:rPr>
        <w:t>.</w:t>
      </w:r>
      <w:r w:rsidR="00743C57" w:rsidRPr="004C4CE9">
        <w:rPr>
          <w:rStyle w:val="FootnoteReference"/>
        </w:rPr>
        <w:footnoteReference w:id="98"/>
      </w:r>
    </w:p>
    <w:p w14:paraId="4E10D168" w14:textId="77777777" w:rsidR="002036CD" w:rsidRPr="006C6C4F" w:rsidRDefault="002036CD" w:rsidP="00AE78BA">
      <w:pPr>
        <w:jc w:val="both"/>
        <w:rPr>
          <w:sz w:val="22"/>
          <w:szCs w:val="22"/>
        </w:rPr>
      </w:pPr>
    </w:p>
    <w:p w14:paraId="763E6FF3" w14:textId="01394BEA" w:rsidR="00FA6B6D" w:rsidRPr="006C6C4F" w:rsidRDefault="00FA6B6D" w:rsidP="00AE78BA">
      <w:pPr>
        <w:jc w:val="both"/>
      </w:pPr>
      <w:r w:rsidRPr="006C6C4F">
        <w:rPr>
          <w:sz w:val="22"/>
          <w:szCs w:val="22"/>
        </w:rPr>
        <w:t xml:space="preserve">The </w:t>
      </w:r>
      <w:r w:rsidR="00995929">
        <w:rPr>
          <w:sz w:val="22"/>
          <w:szCs w:val="22"/>
        </w:rPr>
        <w:t xml:space="preserve">third-country national </w:t>
      </w:r>
      <w:r w:rsidRPr="006C6C4F">
        <w:rPr>
          <w:sz w:val="22"/>
          <w:szCs w:val="22"/>
        </w:rPr>
        <w:t>collects the processed TRP from the same migration office in person</w:t>
      </w:r>
      <w:r w:rsidRPr="004C4CE9">
        <w:rPr>
          <w:rStyle w:val="FootnoteReference"/>
        </w:rPr>
        <w:footnoteReference w:id="99"/>
      </w:r>
      <w:r w:rsidR="00A77361" w:rsidRPr="006C6C4F">
        <w:rPr>
          <w:sz w:val="22"/>
          <w:szCs w:val="22"/>
        </w:rPr>
        <w:t xml:space="preserve"> of </w:t>
      </w:r>
      <w:r w:rsidR="00995929">
        <w:rPr>
          <w:sz w:val="22"/>
          <w:szCs w:val="22"/>
        </w:rPr>
        <w:t xml:space="preserve">through </w:t>
      </w:r>
      <w:r w:rsidR="00A77361" w:rsidRPr="006C6C4F">
        <w:rPr>
          <w:sz w:val="22"/>
          <w:szCs w:val="22"/>
        </w:rPr>
        <w:t>a law</w:t>
      </w:r>
      <w:r w:rsidR="00646F90" w:rsidRPr="006C6C4F">
        <w:rPr>
          <w:sz w:val="22"/>
          <w:szCs w:val="22"/>
        </w:rPr>
        <w:t>yer</w:t>
      </w:r>
      <w:r w:rsidR="00D92126" w:rsidRPr="006C6C4F">
        <w:rPr>
          <w:sz w:val="22"/>
          <w:szCs w:val="22"/>
        </w:rPr>
        <w:t>.</w:t>
      </w:r>
      <w:r w:rsidR="00D92126" w:rsidRPr="004C4CE9">
        <w:rPr>
          <w:rStyle w:val="FootnoteReference"/>
        </w:rPr>
        <w:footnoteReference w:id="100"/>
      </w:r>
    </w:p>
    <w:p w14:paraId="5459B011" w14:textId="77777777" w:rsidR="00F81D8B" w:rsidRDefault="00F81D8B" w:rsidP="006567BB">
      <w:pPr>
        <w:jc w:val="both"/>
        <w:rPr>
          <w:sz w:val="22"/>
          <w:szCs w:val="22"/>
        </w:rPr>
      </w:pPr>
    </w:p>
    <w:p w14:paraId="0FC46082" w14:textId="0612FCE6" w:rsidR="00995929" w:rsidRPr="006C6C4F" w:rsidRDefault="00995929" w:rsidP="001F689D">
      <w:pPr>
        <w:jc w:val="both"/>
        <w:rPr>
          <w:sz w:val="22"/>
          <w:szCs w:val="22"/>
        </w:rPr>
      </w:pPr>
      <w:bookmarkStart w:id="30" w:name="_Hlk517202577"/>
      <w:r w:rsidRPr="006C6C4F">
        <w:rPr>
          <w:sz w:val="22"/>
          <w:szCs w:val="22"/>
        </w:rPr>
        <w:t>All decisions taken by the Migration Department can be challenged via</w:t>
      </w:r>
      <w:r w:rsidR="00104B96">
        <w:rPr>
          <w:sz w:val="22"/>
          <w:szCs w:val="22"/>
        </w:rPr>
        <w:t xml:space="preserve"> administrative</w:t>
      </w:r>
      <w:r w:rsidRPr="006C6C4F">
        <w:rPr>
          <w:sz w:val="22"/>
          <w:szCs w:val="22"/>
        </w:rPr>
        <w:t xml:space="preserve"> courts.</w:t>
      </w:r>
      <w:bookmarkEnd w:id="30"/>
      <w:r w:rsidRPr="004C4CE9">
        <w:rPr>
          <w:rStyle w:val="FootnoteReference"/>
        </w:rPr>
        <w:footnoteReference w:id="101"/>
      </w:r>
      <w:r w:rsidR="00104B96">
        <w:rPr>
          <w:sz w:val="22"/>
          <w:szCs w:val="22"/>
        </w:rPr>
        <w:t xml:space="preserve"> The primary purpose of administrative courts in Lithuania is to protect individuals against the decisions of public bodies.</w:t>
      </w:r>
    </w:p>
    <w:p w14:paraId="7BB71704" w14:textId="77777777" w:rsidR="00995929" w:rsidRPr="006C6C4F" w:rsidRDefault="00995929" w:rsidP="001F689D">
      <w:pPr>
        <w:jc w:val="both"/>
        <w:rPr>
          <w:sz w:val="22"/>
          <w:szCs w:val="22"/>
        </w:rPr>
      </w:pPr>
    </w:p>
    <w:p w14:paraId="39FAF2B5" w14:textId="02FDA91B" w:rsidR="00511718" w:rsidRDefault="004D618C" w:rsidP="00D03FF9">
      <w:pPr>
        <w:pStyle w:val="MMultilevel"/>
        <w:numPr>
          <w:ilvl w:val="0"/>
          <w:numId w:val="15"/>
        </w:numPr>
        <w:rPr>
          <w:b/>
          <w:lang w:val="en-GB"/>
        </w:rPr>
      </w:pPr>
      <w:r w:rsidRPr="006C6C4F">
        <w:rPr>
          <w:b/>
          <w:lang w:val="en-GB"/>
        </w:rPr>
        <w:t>C</w:t>
      </w:r>
      <w:r w:rsidR="00E0318E" w:rsidRPr="006C6C4F">
        <w:rPr>
          <w:b/>
          <w:lang w:val="en-GB"/>
        </w:rPr>
        <w:t>ompliance monitoring</w:t>
      </w:r>
      <w:r w:rsidR="00C90F7A" w:rsidRPr="006C6C4F">
        <w:rPr>
          <w:b/>
          <w:lang w:val="en-GB"/>
        </w:rPr>
        <w:t>: Articles 185-</w:t>
      </w:r>
      <w:r w:rsidR="003C671D" w:rsidRPr="006C6C4F">
        <w:rPr>
          <w:b/>
          <w:lang w:val="en-GB"/>
        </w:rPr>
        <w:t>202</w:t>
      </w:r>
      <w:r w:rsidR="00D74EAA" w:rsidRPr="006C6C4F">
        <w:rPr>
          <w:b/>
          <w:lang w:val="en-GB"/>
        </w:rPr>
        <w:t>, 222</w:t>
      </w:r>
      <w:r w:rsidR="00C90F7A" w:rsidRPr="006C6C4F">
        <w:rPr>
          <w:b/>
          <w:lang w:val="en-GB"/>
        </w:rPr>
        <w:t xml:space="preserve"> TRP Rules</w:t>
      </w:r>
    </w:p>
    <w:p w14:paraId="584D1E84" w14:textId="77777777" w:rsidR="001F689D" w:rsidRPr="006C6C4F" w:rsidRDefault="001F689D" w:rsidP="001F689D">
      <w:pPr>
        <w:pStyle w:val="MMultilevel"/>
        <w:ind w:left="360"/>
        <w:rPr>
          <w:b/>
          <w:lang w:val="en-GB"/>
        </w:rPr>
      </w:pPr>
    </w:p>
    <w:p w14:paraId="6B3DE623" w14:textId="15D25A60" w:rsidR="00D544CA" w:rsidRDefault="00D544CA" w:rsidP="001F689D">
      <w:pPr>
        <w:jc w:val="both"/>
        <w:rPr>
          <w:sz w:val="22"/>
          <w:szCs w:val="22"/>
        </w:rPr>
      </w:pPr>
      <w:r w:rsidRPr="006C6C4F">
        <w:rPr>
          <w:sz w:val="22"/>
          <w:szCs w:val="22"/>
        </w:rPr>
        <w:t xml:space="preserve">Monitoring whether </w:t>
      </w:r>
      <w:r w:rsidR="00E710CC">
        <w:rPr>
          <w:sz w:val="22"/>
          <w:szCs w:val="22"/>
        </w:rPr>
        <w:t>third-country nationals who have been granted</w:t>
      </w:r>
      <w:r w:rsidRPr="006C6C4F">
        <w:rPr>
          <w:sz w:val="22"/>
          <w:szCs w:val="22"/>
        </w:rPr>
        <w:t xml:space="preserve"> TRP</w:t>
      </w:r>
      <w:r w:rsidR="00E2265F" w:rsidRPr="006C6C4F">
        <w:rPr>
          <w:sz w:val="22"/>
          <w:szCs w:val="22"/>
        </w:rPr>
        <w:t>s</w:t>
      </w:r>
      <w:r w:rsidRPr="006C6C4F">
        <w:rPr>
          <w:sz w:val="22"/>
          <w:szCs w:val="22"/>
        </w:rPr>
        <w:t xml:space="preserve"> continue to </w:t>
      </w:r>
      <w:r w:rsidR="00E710CC">
        <w:rPr>
          <w:sz w:val="22"/>
          <w:szCs w:val="22"/>
        </w:rPr>
        <w:t xml:space="preserve">comply with </w:t>
      </w:r>
      <w:r w:rsidRPr="006C6C4F">
        <w:rPr>
          <w:sz w:val="22"/>
          <w:szCs w:val="22"/>
        </w:rPr>
        <w:t>the conditions upon which it was granted is performed by the migration office</w:t>
      </w:r>
      <w:r w:rsidR="00E2265F" w:rsidRPr="006C6C4F">
        <w:rPr>
          <w:sz w:val="22"/>
          <w:szCs w:val="22"/>
        </w:rPr>
        <w:t xml:space="preserve"> of their residence</w:t>
      </w:r>
      <w:r w:rsidRPr="006C6C4F">
        <w:rPr>
          <w:sz w:val="22"/>
          <w:szCs w:val="22"/>
        </w:rPr>
        <w:t>, wh</w:t>
      </w:r>
      <w:r w:rsidR="00E2265F" w:rsidRPr="006C6C4F">
        <w:rPr>
          <w:sz w:val="22"/>
          <w:szCs w:val="22"/>
        </w:rPr>
        <w:t>ich</w:t>
      </w:r>
      <w:r w:rsidRPr="006C6C4F">
        <w:rPr>
          <w:sz w:val="22"/>
          <w:szCs w:val="22"/>
        </w:rPr>
        <w:t xml:space="preserve"> notifies the Migration Department of </w:t>
      </w:r>
      <w:r w:rsidR="00F827CB" w:rsidRPr="00AE78BA">
        <w:t>any issues uncovered through this monitoring</w:t>
      </w:r>
      <w:r w:rsidRPr="006C6C4F">
        <w:rPr>
          <w:sz w:val="22"/>
          <w:szCs w:val="22"/>
        </w:rPr>
        <w:t>.</w:t>
      </w:r>
      <w:r w:rsidRPr="00D03FF9">
        <w:rPr>
          <w:rStyle w:val="FootnoteReference"/>
        </w:rPr>
        <w:footnoteReference w:id="102"/>
      </w:r>
    </w:p>
    <w:p w14:paraId="215ED3C5" w14:textId="77777777" w:rsidR="001F689D" w:rsidRPr="006C6C4F" w:rsidRDefault="001F689D" w:rsidP="001F689D">
      <w:pPr>
        <w:jc w:val="both"/>
        <w:rPr>
          <w:sz w:val="22"/>
          <w:szCs w:val="22"/>
        </w:rPr>
      </w:pPr>
    </w:p>
    <w:p w14:paraId="40B2CB7E" w14:textId="4197B8EF" w:rsidR="008D3747" w:rsidRDefault="00E0318E" w:rsidP="001F689D">
      <w:pPr>
        <w:jc w:val="both"/>
        <w:rPr>
          <w:sz w:val="22"/>
          <w:szCs w:val="22"/>
        </w:rPr>
      </w:pPr>
      <w:r w:rsidRPr="006C6C4F">
        <w:rPr>
          <w:sz w:val="22"/>
          <w:szCs w:val="22"/>
        </w:rPr>
        <w:t xml:space="preserve">Once </w:t>
      </w:r>
      <w:r w:rsidR="00D544CA" w:rsidRPr="006C6C4F">
        <w:rPr>
          <w:sz w:val="22"/>
          <w:szCs w:val="22"/>
        </w:rPr>
        <w:t>a</w:t>
      </w:r>
      <w:r w:rsidRPr="006C6C4F">
        <w:rPr>
          <w:sz w:val="22"/>
          <w:szCs w:val="22"/>
        </w:rPr>
        <w:t xml:space="preserve"> </w:t>
      </w:r>
      <w:r w:rsidR="00D544CA" w:rsidRPr="006C6C4F">
        <w:rPr>
          <w:sz w:val="22"/>
          <w:szCs w:val="22"/>
        </w:rPr>
        <w:t>TRP</w:t>
      </w:r>
      <w:r w:rsidRPr="006C6C4F">
        <w:rPr>
          <w:sz w:val="22"/>
          <w:szCs w:val="22"/>
        </w:rPr>
        <w:t xml:space="preserve"> is issued, foreign</w:t>
      </w:r>
      <w:r w:rsidR="00D03FF9">
        <w:rPr>
          <w:sz w:val="22"/>
          <w:szCs w:val="22"/>
        </w:rPr>
        <w:t xml:space="preserve"> </w:t>
      </w:r>
      <w:r w:rsidRPr="006C6C4F">
        <w:rPr>
          <w:sz w:val="22"/>
          <w:szCs w:val="22"/>
        </w:rPr>
        <w:t>investors</w:t>
      </w:r>
      <w:r w:rsidR="00934C95">
        <w:rPr>
          <w:sz w:val="22"/>
          <w:szCs w:val="22"/>
        </w:rPr>
        <w:t xml:space="preserve"> (both small and medium)</w:t>
      </w:r>
      <w:r w:rsidRPr="00D03FF9">
        <w:rPr>
          <w:rStyle w:val="FootnoteReference"/>
        </w:rPr>
        <w:footnoteReference w:id="103"/>
      </w:r>
      <w:r w:rsidRPr="006C6C4F">
        <w:rPr>
          <w:sz w:val="22"/>
          <w:szCs w:val="22"/>
        </w:rPr>
        <w:t xml:space="preserve"> have a duty to report to the Ministry of the Interior within seven calendar days if</w:t>
      </w:r>
      <w:r w:rsidR="008D3747" w:rsidRPr="006C6C4F">
        <w:rPr>
          <w:sz w:val="22"/>
          <w:szCs w:val="22"/>
        </w:rPr>
        <w:t>:</w:t>
      </w:r>
      <w:r w:rsidR="008D3747" w:rsidRPr="00D03FF9">
        <w:rPr>
          <w:rStyle w:val="FootnoteReference"/>
        </w:rPr>
        <w:footnoteReference w:id="104"/>
      </w:r>
    </w:p>
    <w:p w14:paraId="26358781" w14:textId="77777777" w:rsidR="008D3747" w:rsidRPr="006C6C4F" w:rsidRDefault="008D3747" w:rsidP="00547627">
      <w:pPr>
        <w:pStyle w:val="MMultileveltable"/>
        <w:ind w:left="426"/>
      </w:pPr>
      <w:r w:rsidRPr="006C6C4F">
        <w:t>They change their personal identity documents;</w:t>
      </w:r>
    </w:p>
    <w:p w14:paraId="6E9C1476" w14:textId="77777777" w:rsidR="008D3747" w:rsidRPr="006C6C4F" w:rsidRDefault="00114E57" w:rsidP="00547627">
      <w:pPr>
        <w:pStyle w:val="MMultileveltable"/>
        <w:ind w:left="426"/>
      </w:pPr>
      <w:r w:rsidRPr="006C6C4F">
        <w:t>There is a change in their family status/relationship;</w:t>
      </w:r>
    </w:p>
    <w:p w14:paraId="74C9E056" w14:textId="77777777" w:rsidR="00114E57" w:rsidRPr="006C6C4F" w:rsidRDefault="00114E57" w:rsidP="00547627">
      <w:pPr>
        <w:pStyle w:val="MMultileveltable"/>
        <w:ind w:left="426"/>
      </w:pPr>
      <w:r w:rsidRPr="006C6C4F">
        <w:t>They change the place of residence;</w:t>
      </w:r>
    </w:p>
    <w:p w14:paraId="7FB02B9D" w14:textId="77777777" w:rsidR="00E0318E" w:rsidRPr="006C6C4F" w:rsidRDefault="00114E57" w:rsidP="00547627">
      <w:pPr>
        <w:pStyle w:val="MMultileveltable"/>
        <w:ind w:left="426"/>
      </w:pPr>
      <w:r w:rsidRPr="006C6C4F">
        <w:lastRenderedPageBreak/>
        <w:t>T</w:t>
      </w:r>
      <w:r w:rsidR="00E0318E" w:rsidRPr="006C6C4F">
        <w:t>here is a change in the registered address of their company listed on the Lithuanian Register of Legal Entities or in the address of the foreign-registered company’s subsidiary in Lithuania.</w:t>
      </w:r>
      <w:r w:rsidR="008501CE" w:rsidRPr="006C6C4F">
        <w:t xml:space="preserve"> </w:t>
      </w:r>
    </w:p>
    <w:p w14:paraId="2486274A" w14:textId="77777777" w:rsidR="00E0318E" w:rsidRPr="006C6C4F" w:rsidRDefault="00E0318E" w:rsidP="001F689D">
      <w:pPr>
        <w:jc w:val="both"/>
        <w:rPr>
          <w:sz w:val="22"/>
          <w:szCs w:val="22"/>
        </w:rPr>
      </w:pPr>
    </w:p>
    <w:p w14:paraId="499E0219" w14:textId="6FBCC3A4" w:rsidR="00E0318E" w:rsidRPr="006C6C4F" w:rsidRDefault="00E0318E" w:rsidP="001F689D">
      <w:pPr>
        <w:jc w:val="both"/>
      </w:pPr>
      <w:r w:rsidRPr="006C6C4F">
        <w:rPr>
          <w:sz w:val="22"/>
          <w:szCs w:val="22"/>
        </w:rPr>
        <w:t xml:space="preserve">The TRP can be </w:t>
      </w:r>
      <w:r w:rsidR="00F827CB">
        <w:rPr>
          <w:sz w:val="22"/>
          <w:szCs w:val="22"/>
        </w:rPr>
        <w:t>annulled</w:t>
      </w:r>
      <w:r w:rsidRPr="006C6C4F">
        <w:rPr>
          <w:sz w:val="22"/>
          <w:szCs w:val="22"/>
        </w:rPr>
        <w:t xml:space="preserve">/withdrawn if the Lithuanian authorities </w:t>
      </w:r>
      <w:r w:rsidR="00A23BF9" w:rsidRPr="006C6C4F">
        <w:rPr>
          <w:sz w:val="22"/>
          <w:szCs w:val="22"/>
        </w:rPr>
        <w:t xml:space="preserve">later </w:t>
      </w:r>
      <w:r w:rsidRPr="006C6C4F">
        <w:rPr>
          <w:sz w:val="22"/>
          <w:szCs w:val="22"/>
        </w:rPr>
        <w:t>establish that:</w:t>
      </w:r>
      <w:r w:rsidRPr="00D03FF9">
        <w:rPr>
          <w:rStyle w:val="FootnoteReference"/>
          <w:sz w:val="22"/>
          <w:szCs w:val="22"/>
        </w:rPr>
        <w:footnoteReference w:id="105"/>
      </w:r>
    </w:p>
    <w:p w14:paraId="794FADEC" w14:textId="0EA105D1" w:rsidR="0024053F" w:rsidRPr="006C6C4F" w:rsidRDefault="0024053F" w:rsidP="00547627">
      <w:pPr>
        <w:pStyle w:val="MMultileveltable"/>
        <w:ind w:left="426"/>
      </w:pPr>
      <w:r w:rsidRPr="006C6C4F">
        <w:t>The company in which s/he invests is fictitious.</w:t>
      </w:r>
    </w:p>
    <w:p w14:paraId="57656F85" w14:textId="22A89F8F" w:rsidR="00E0318E" w:rsidRPr="006C6C4F" w:rsidRDefault="00E0318E" w:rsidP="00547627">
      <w:pPr>
        <w:pStyle w:val="MMultileveltable"/>
        <w:ind w:left="426"/>
      </w:pPr>
      <w:r w:rsidRPr="006C6C4F">
        <w:t>Either the company or the foreign investor fail to meet the special requirements for the temporary residence set out in Articles 45.1(1)</w:t>
      </w:r>
      <w:r w:rsidR="00934C95">
        <w:t>, (2) or</w:t>
      </w:r>
      <w:r w:rsidRPr="006C6C4F">
        <w:t xml:space="preserve"> 45.1(2</w:t>
      </w:r>
      <w:r w:rsidRPr="006C6C4F">
        <w:rPr>
          <w:vertAlign w:val="superscript"/>
        </w:rPr>
        <w:t>1</w:t>
      </w:r>
      <w:r w:rsidRPr="006C6C4F">
        <w:t>) LLSA;</w:t>
      </w:r>
    </w:p>
    <w:p w14:paraId="697428DD" w14:textId="1489707D" w:rsidR="00E0318E" w:rsidRPr="006C6C4F" w:rsidRDefault="00E0318E" w:rsidP="00547627">
      <w:pPr>
        <w:pStyle w:val="MMultileveltable"/>
        <w:ind w:left="426"/>
      </w:pPr>
      <w:r w:rsidRPr="006C6C4F">
        <w:t xml:space="preserve">The foreign investor no longer leads the company or no longer owns at least </w:t>
      </w:r>
      <w:r w:rsidR="00E710CC">
        <w:t>one third</w:t>
      </w:r>
      <w:r w:rsidRPr="006C6C4F">
        <w:t xml:space="preserve"> of the nominal value of the registered share capital in a joint stock company.</w:t>
      </w:r>
    </w:p>
    <w:p w14:paraId="39381946" w14:textId="77777777" w:rsidR="00E0318E" w:rsidRPr="006C6C4F" w:rsidRDefault="00E0318E" w:rsidP="001F689D">
      <w:pPr>
        <w:rPr>
          <w:sz w:val="22"/>
          <w:szCs w:val="22"/>
        </w:rPr>
      </w:pPr>
    </w:p>
    <w:p w14:paraId="382E587D" w14:textId="77777777" w:rsidR="003A78C7" w:rsidRPr="006C6C4F" w:rsidRDefault="00BB0482" w:rsidP="001F689D">
      <w:pPr>
        <w:rPr>
          <w:sz w:val="22"/>
          <w:szCs w:val="22"/>
        </w:rPr>
      </w:pPr>
      <w:r w:rsidRPr="006C6C4F">
        <w:rPr>
          <w:sz w:val="22"/>
          <w:szCs w:val="22"/>
        </w:rPr>
        <w:t>There are also rules regulating TRP forgery</w:t>
      </w:r>
      <w:r w:rsidR="00AD286B" w:rsidRPr="00505A7A">
        <w:rPr>
          <w:rStyle w:val="FootnoteReference"/>
        </w:rPr>
        <w:footnoteReference w:id="106"/>
      </w:r>
      <w:r w:rsidRPr="006C6C4F">
        <w:rPr>
          <w:sz w:val="22"/>
          <w:szCs w:val="22"/>
        </w:rPr>
        <w:t xml:space="preserve"> that can result in criminal investigation</w:t>
      </w:r>
      <w:r w:rsidR="00E710CC">
        <w:rPr>
          <w:sz w:val="22"/>
          <w:szCs w:val="22"/>
        </w:rPr>
        <w:t>s</w:t>
      </w:r>
      <w:r w:rsidRPr="006C6C4F">
        <w:rPr>
          <w:sz w:val="22"/>
          <w:szCs w:val="22"/>
        </w:rPr>
        <w:t>.</w:t>
      </w:r>
      <w:r w:rsidR="00FC66C2" w:rsidRPr="00505A7A">
        <w:rPr>
          <w:rStyle w:val="FootnoteReference"/>
        </w:rPr>
        <w:footnoteReference w:id="107"/>
      </w:r>
    </w:p>
    <w:p w14:paraId="650586E1" w14:textId="77777777" w:rsidR="003A78C7" w:rsidRPr="006C6C4F" w:rsidRDefault="003A78C7">
      <w:pPr>
        <w:rPr>
          <w:sz w:val="22"/>
          <w:szCs w:val="22"/>
        </w:rPr>
      </w:pPr>
      <w:r w:rsidRPr="006C6C4F">
        <w:rPr>
          <w:sz w:val="22"/>
          <w:szCs w:val="22"/>
        </w:rPr>
        <w:br w:type="page"/>
      </w:r>
    </w:p>
    <w:p w14:paraId="20144CEB" w14:textId="49BA22CA" w:rsidR="00546CB4" w:rsidRPr="006C6C4F" w:rsidRDefault="00546CB4" w:rsidP="00546CB4">
      <w:pPr>
        <w:rPr>
          <w:sz w:val="22"/>
          <w:szCs w:val="22"/>
        </w:rPr>
      </w:pPr>
      <w:r w:rsidRPr="006C6C4F">
        <w:rPr>
          <w:sz w:val="22"/>
          <w:szCs w:val="22"/>
        </w:rPr>
        <w:lastRenderedPageBreak/>
        <w:t>The diagram below</w:t>
      </w:r>
      <w:r w:rsidRPr="00505A7A">
        <w:rPr>
          <w:rStyle w:val="FootnoteReference"/>
        </w:rPr>
        <w:footnoteReference w:id="108"/>
      </w:r>
      <w:r w:rsidRPr="006C6C4F">
        <w:rPr>
          <w:sz w:val="22"/>
          <w:szCs w:val="22"/>
        </w:rPr>
        <w:t xml:space="preserve"> illustrates the </w:t>
      </w:r>
      <w:r w:rsidR="001777FF" w:rsidRPr="006C6C4F">
        <w:rPr>
          <w:sz w:val="22"/>
          <w:szCs w:val="22"/>
        </w:rPr>
        <w:t xml:space="preserve">general </w:t>
      </w:r>
      <w:r w:rsidRPr="006C6C4F">
        <w:rPr>
          <w:sz w:val="22"/>
          <w:szCs w:val="22"/>
        </w:rPr>
        <w:t xml:space="preserve">process of application for a </w:t>
      </w:r>
      <w:r w:rsidR="00E710CC">
        <w:rPr>
          <w:sz w:val="22"/>
          <w:szCs w:val="22"/>
        </w:rPr>
        <w:t>TRP</w:t>
      </w:r>
      <w:r w:rsidRPr="006C6C4F">
        <w:rPr>
          <w:sz w:val="22"/>
          <w:szCs w:val="22"/>
        </w:rPr>
        <w:t xml:space="preserve"> in Lithuania.</w:t>
      </w:r>
    </w:p>
    <w:p w14:paraId="45D78B6B" w14:textId="77777777" w:rsidR="00F81D8B" w:rsidRPr="006C6C4F" w:rsidRDefault="00F81D8B" w:rsidP="00736ED1">
      <w:pPr>
        <w:rPr>
          <w:noProof/>
          <w:sz w:val="22"/>
          <w:szCs w:val="22"/>
        </w:rPr>
      </w:pPr>
    </w:p>
    <w:p w14:paraId="790C5C9D" w14:textId="77777777" w:rsidR="00F81D8B" w:rsidRPr="006C6C4F" w:rsidRDefault="00F81D8B" w:rsidP="00736ED1">
      <w:r w:rsidRPr="006C6C4F">
        <w:rPr>
          <w:noProof/>
          <w:lang w:val="fr-BE" w:eastAsia="fr-BE"/>
        </w:rPr>
        <w:drawing>
          <wp:inline distT="0" distB="0" distL="0" distR="0" wp14:anchorId="07A9D851" wp14:editId="19DC46F6">
            <wp:extent cx="6013938" cy="7609478"/>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24289" t="21545" r="43135" b="5176"/>
                    <a:stretch/>
                  </pic:blipFill>
                  <pic:spPr bwMode="auto">
                    <a:xfrm>
                      <a:off x="0" y="0"/>
                      <a:ext cx="6029721" cy="7629449"/>
                    </a:xfrm>
                    <a:prstGeom prst="rect">
                      <a:avLst/>
                    </a:prstGeom>
                    <a:ln>
                      <a:noFill/>
                    </a:ln>
                    <a:extLst>
                      <a:ext uri="{53640926-AAD7-44D8-BBD7-CCE9431645EC}">
                        <a14:shadowObscured xmlns:a14="http://schemas.microsoft.com/office/drawing/2010/main"/>
                      </a:ext>
                    </a:extLst>
                  </pic:spPr>
                </pic:pic>
              </a:graphicData>
            </a:graphic>
          </wp:inline>
        </w:drawing>
      </w:r>
    </w:p>
    <w:p w14:paraId="6A49DD95" w14:textId="54397B72" w:rsidR="00736ED1" w:rsidRDefault="00736ED1" w:rsidP="00736ED1"/>
    <w:p w14:paraId="2EC6825C" w14:textId="0191C1EC" w:rsidR="00B311A7" w:rsidRPr="006C6C4F" w:rsidRDefault="00F81F13" w:rsidP="009F3034">
      <w:pPr>
        <w:pStyle w:val="ListParagraph"/>
        <w:numPr>
          <w:ilvl w:val="0"/>
          <w:numId w:val="5"/>
        </w:numPr>
        <w:ind w:left="720" w:hanging="360"/>
        <w:rPr>
          <w:b/>
          <w:i/>
        </w:rPr>
      </w:pPr>
      <w:r w:rsidRPr="006C6C4F">
        <w:rPr>
          <w:b/>
          <w:i/>
        </w:rPr>
        <w:lastRenderedPageBreak/>
        <w:t>T</w:t>
      </w:r>
      <w:r w:rsidR="00B311A7" w:rsidRPr="006C6C4F">
        <w:rPr>
          <w:b/>
          <w:i/>
        </w:rPr>
        <w:t>he condition(s) for granting residence to investo</w:t>
      </w:r>
      <w:r w:rsidRPr="006C6C4F">
        <w:rPr>
          <w:b/>
          <w:i/>
        </w:rPr>
        <w:t>rs</w:t>
      </w:r>
    </w:p>
    <w:p w14:paraId="1083C61C" w14:textId="175B1DDA" w:rsidR="00F81F13" w:rsidRDefault="00F81F13" w:rsidP="00DA11E1"/>
    <w:p w14:paraId="1D94E101" w14:textId="055624D5" w:rsidR="00591324" w:rsidRPr="00532B73" w:rsidRDefault="00591324" w:rsidP="004C4CE9">
      <w:pPr>
        <w:jc w:val="both"/>
        <w:rPr>
          <w:sz w:val="22"/>
          <w:szCs w:val="22"/>
        </w:rPr>
      </w:pPr>
      <w:r w:rsidRPr="00532B73">
        <w:rPr>
          <w:sz w:val="22"/>
          <w:szCs w:val="22"/>
        </w:rPr>
        <w:t xml:space="preserve">There are two sets of conditions to be met. One set of conditions is addressed to </w:t>
      </w:r>
      <w:r w:rsidR="00E94684" w:rsidRPr="00C76A51">
        <w:rPr>
          <w:sz w:val="22"/>
          <w:szCs w:val="22"/>
        </w:rPr>
        <w:t>the investors themselves</w:t>
      </w:r>
      <w:r w:rsidR="0014790E" w:rsidRPr="00532B73">
        <w:rPr>
          <w:sz w:val="22"/>
          <w:szCs w:val="22"/>
        </w:rPr>
        <w:t>,</w:t>
      </w:r>
      <w:r w:rsidRPr="00532B73">
        <w:rPr>
          <w:sz w:val="22"/>
          <w:szCs w:val="22"/>
        </w:rPr>
        <w:t xml:space="preserve"> and the other set of conditions is addressed</w:t>
      </w:r>
      <w:r w:rsidR="00E94684" w:rsidRPr="00E94684">
        <w:rPr>
          <w:sz w:val="22"/>
          <w:szCs w:val="22"/>
        </w:rPr>
        <w:t xml:space="preserve"> </w:t>
      </w:r>
      <w:r w:rsidR="00E94684">
        <w:rPr>
          <w:sz w:val="22"/>
          <w:szCs w:val="22"/>
        </w:rPr>
        <w:t xml:space="preserve">to </w:t>
      </w:r>
      <w:r w:rsidR="00E94684" w:rsidRPr="0093668E">
        <w:rPr>
          <w:sz w:val="22"/>
          <w:szCs w:val="22"/>
        </w:rPr>
        <w:t>the company that is being invested in</w:t>
      </w:r>
      <w:r w:rsidRPr="00532B73">
        <w:rPr>
          <w:sz w:val="22"/>
          <w:szCs w:val="22"/>
        </w:rPr>
        <w:t xml:space="preserve">. This section focuses on </w:t>
      </w:r>
      <w:r w:rsidR="00505A7A" w:rsidRPr="00532B73">
        <w:rPr>
          <w:sz w:val="22"/>
          <w:szCs w:val="22"/>
        </w:rPr>
        <w:t>both</w:t>
      </w:r>
      <w:r w:rsidRPr="00532B73">
        <w:rPr>
          <w:sz w:val="22"/>
          <w:szCs w:val="22"/>
        </w:rPr>
        <w:t xml:space="preserve">. </w:t>
      </w:r>
    </w:p>
    <w:p w14:paraId="1F8564F1" w14:textId="77777777" w:rsidR="00591324" w:rsidRPr="00532B73" w:rsidRDefault="00591324" w:rsidP="00DA11E1">
      <w:pPr>
        <w:rPr>
          <w:sz w:val="22"/>
          <w:szCs w:val="22"/>
        </w:rPr>
      </w:pPr>
    </w:p>
    <w:p w14:paraId="2A53ECFA" w14:textId="7B33AEC2" w:rsidR="00DA11E1" w:rsidRDefault="00E94684" w:rsidP="00DA11E1">
      <w:pPr>
        <w:pStyle w:val="MMultilevel"/>
        <w:ind w:hanging="1"/>
        <w:rPr>
          <w:lang w:val="en-GB"/>
        </w:rPr>
      </w:pPr>
      <w:r w:rsidRPr="00E94684">
        <w:rPr>
          <w:lang w:val="en-GB"/>
        </w:rPr>
        <w:t>Regarding</w:t>
      </w:r>
      <w:r>
        <w:rPr>
          <w:b/>
          <w:lang w:val="en-GB"/>
        </w:rPr>
        <w:t xml:space="preserve"> </w:t>
      </w:r>
      <w:r w:rsidRPr="006C6C4F">
        <w:rPr>
          <w:b/>
          <w:lang w:val="en-GB"/>
        </w:rPr>
        <w:t>small investor</w:t>
      </w:r>
      <w:r>
        <w:rPr>
          <w:b/>
          <w:lang w:val="en-GB"/>
        </w:rPr>
        <w:t>s</w:t>
      </w:r>
      <w:r>
        <w:rPr>
          <w:lang w:val="en-GB"/>
        </w:rPr>
        <w:t>,</w:t>
      </w:r>
      <w:r w:rsidR="00DA11E1" w:rsidRPr="006C6C4F">
        <w:rPr>
          <w:lang w:val="en-GB"/>
        </w:rPr>
        <w:t xml:space="preserve"> Article 45.1(1) LLSA</w:t>
      </w:r>
      <w:r>
        <w:rPr>
          <w:lang w:val="en-GB"/>
        </w:rPr>
        <w:t xml:space="preserve"> prescribes</w:t>
      </w:r>
      <w:r w:rsidR="00DA11E1" w:rsidRPr="006C6C4F">
        <w:rPr>
          <w:lang w:val="en-GB"/>
        </w:rPr>
        <w:t>:</w:t>
      </w:r>
    </w:p>
    <w:p w14:paraId="02ECDAC7" w14:textId="77777777" w:rsidR="001F689D" w:rsidRPr="006C6C4F" w:rsidRDefault="001F689D" w:rsidP="00DA11E1">
      <w:pPr>
        <w:pStyle w:val="MMultilevel"/>
        <w:ind w:hanging="1"/>
        <w:rPr>
          <w:lang w:val="en-GB"/>
        </w:rPr>
      </w:pPr>
    </w:p>
    <w:p w14:paraId="61C87D89" w14:textId="311B6CB9" w:rsidR="00E94684" w:rsidRDefault="00E94684" w:rsidP="001F689D">
      <w:pPr>
        <w:pStyle w:val="MMultilevel"/>
      </w:pPr>
      <w:r w:rsidRPr="006C6C4F">
        <w:t xml:space="preserve">The investor’s personal investment in </w:t>
      </w:r>
      <w:r>
        <w:t>the company</w:t>
      </w:r>
      <w:r w:rsidRPr="006C6C4F">
        <w:t xml:space="preserve"> must be at least </w:t>
      </w:r>
      <w:r>
        <w:t xml:space="preserve">EUR </w:t>
      </w:r>
      <w:r w:rsidRPr="006C6C4F">
        <w:t>14,000</w:t>
      </w:r>
      <w:r>
        <w:t>.</w:t>
      </w:r>
    </w:p>
    <w:p w14:paraId="0426AFF4" w14:textId="5C8D044E" w:rsidR="00E94684" w:rsidRDefault="00D03FF9" w:rsidP="001F689D">
      <w:pPr>
        <w:pStyle w:val="MMultilevel"/>
      </w:pPr>
      <w:r w:rsidRPr="006C6C4F">
        <w:t>The</w:t>
      </w:r>
      <w:r>
        <w:t>ir</w:t>
      </w:r>
      <w:r w:rsidRPr="006C6C4F">
        <w:t xml:space="preserve"> company </w:t>
      </w:r>
      <w:r>
        <w:t>must have</w:t>
      </w:r>
      <w:r w:rsidRPr="006C6C4F">
        <w:t xml:space="preserve"> the capital</w:t>
      </w:r>
      <w:r>
        <w:t>/assets</w:t>
      </w:r>
      <w:r w:rsidRPr="006C6C4F">
        <w:t xml:space="preserve"> of at least</w:t>
      </w:r>
      <w:r>
        <w:t xml:space="preserve"> EUR</w:t>
      </w:r>
      <w:r w:rsidRPr="006C6C4F">
        <w:t xml:space="preserve"> 28,000</w:t>
      </w:r>
      <w:r>
        <w:t>.</w:t>
      </w:r>
    </w:p>
    <w:p w14:paraId="20985463" w14:textId="11C5BA2B" w:rsidR="00E94684" w:rsidRPr="001F689D" w:rsidRDefault="00E94684" w:rsidP="00E94684">
      <w:pPr>
        <w:pStyle w:val="MMultilevel"/>
      </w:pPr>
      <w:r>
        <w:t>T</w:t>
      </w:r>
      <w:r w:rsidRPr="006C6C4F">
        <w:t xml:space="preserve">he investor </w:t>
      </w:r>
      <w:r>
        <w:t>must</w:t>
      </w:r>
      <w:r w:rsidRPr="006C6C4F">
        <w:t xml:space="preserve"> be the </w:t>
      </w:r>
      <w:r>
        <w:t>‘</w:t>
      </w:r>
      <w:r w:rsidRPr="00CF56ED">
        <w:t>manager of the enterprise</w:t>
      </w:r>
      <w:r>
        <w:t xml:space="preserve">’ </w:t>
      </w:r>
      <w:r w:rsidRPr="006C6C4F">
        <w:t xml:space="preserve">or a shareholder in a joint stock company owning at least </w:t>
      </w:r>
      <w:r>
        <w:t xml:space="preserve">one third </w:t>
      </w:r>
      <w:r w:rsidRPr="006C6C4F">
        <w:t>of the nominal value of the registered share capital.</w:t>
      </w:r>
    </w:p>
    <w:p w14:paraId="70B6ED43" w14:textId="28A6D357" w:rsidR="00DA11E1" w:rsidRPr="001F689D" w:rsidRDefault="00E94684" w:rsidP="001F689D">
      <w:pPr>
        <w:pStyle w:val="MMultilevel"/>
      </w:pPr>
      <w:r>
        <w:t>The company must carry</w:t>
      </w:r>
      <w:r w:rsidRPr="001F689D">
        <w:t xml:space="preserve"> </w:t>
      </w:r>
      <w:r w:rsidR="00DA11E1" w:rsidRPr="001F689D">
        <w:t xml:space="preserve">out the legally declared business activity for at least the last </w:t>
      </w:r>
      <w:r w:rsidR="006567BB" w:rsidRPr="001F689D">
        <w:t>six</w:t>
      </w:r>
      <w:r w:rsidR="00DA11E1" w:rsidRPr="001F689D">
        <w:t xml:space="preserve"> months before the application for the temporary residence is filed (the genuine business presence requirement);</w:t>
      </w:r>
    </w:p>
    <w:p w14:paraId="34B91741" w14:textId="7E07A878" w:rsidR="00DA11E1" w:rsidRPr="001F689D" w:rsidRDefault="00E94684" w:rsidP="001F689D">
      <w:pPr>
        <w:pStyle w:val="MMultilevel"/>
      </w:pPr>
      <w:r>
        <w:t>The company must have</w:t>
      </w:r>
      <w:r w:rsidRPr="001F689D">
        <w:t xml:space="preserve"> </w:t>
      </w:r>
      <w:r w:rsidR="00DA11E1" w:rsidRPr="001F689D">
        <w:t xml:space="preserve">full-time workers (at least one) who are Lithuanian, EU/EEA citizens or permanently residing foreign nationals. </w:t>
      </w:r>
    </w:p>
    <w:p w14:paraId="3BBDF274" w14:textId="4EEA318E" w:rsidR="00DA11E1" w:rsidRDefault="00DA11E1" w:rsidP="001F689D">
      <w:pPr>
        <w:pStyle w:val="MMultilevel"/>
      </w:pPr>
      <w:r w:rsidRPr="001F689D">
        <w:t xml:space="preserve">The </w:t>
      </w:r>
      <w:r w:rsidR="00E94684">
        <w:t xml:space="preserve">company’s </w:t>
      </w:r>
      <w:r w:rsidRPr="001F689D">
        <w:t xml:space="preserve">workers </w:t>
      </w:r>
      <w:r w:rsidR="00E94684">
        <w:t xml:space="preserve">must </w:t>
      </w:r>
      <w:r w:rsidRPr="001F689D">
        <w:t>receive the total minimum pay of at least two gross average monthly salaries (BDU) measured at the last financial quarter, as announced by the Lithuanian Department of Statistics.</w:t>
      </w:r>
      <w:r w:rsidRPr="00DE4C72">
        <w:rPr>
          <w:rStyle w:val="FootnoteReference"/>
        </w:rPr>
        <w:footnoteReference w:id="109"/>
      </w:r>
    </w:p>
    <w:p w14:paraId="2BE997DE" w14:textId="77777777" w:rsidR="00747BC9" w:rsidRPr="006C6C4F" w:rsidRDefault="00747BC9" w:rsidP="00532B73">
      <w:pPr>
        <w:pStyle w:val="MMultilevel"/>
        <w:rPr>
          <w:lang w:val="en-GB"/>
        </w:rPr>
      </w:pPr>
    </w:p>
    <w:p w14:paraId="3B73F6E7" w14:textId="26671879" w:rsidR="00DA11E1" w:rsidRPr="00925E20" w:rsidRDefault="00E94684" w:rsidP="00AE78BA">
      <w:pPr>
        <w:jc w:val="both"/>
        <w:rPr>
          <w:sz w:val="22"/>
          <w:szCs w:val="22"/>
        </w:rPr>
      </w:pPr>
      <w:r w:rsidRPr="00532B73">
        <w:rPr>
          <w:sz w:val="22"/>
          <w:szCs w:val="22"/>
        </w:rPr>
        <w:t>Regarding</w:t>
      </w:r>
      <w:r w:rsidRPr="00532B73">
        <w:rPr>
          <w:b/>
          <w:sz w:val="22"/>
          <w:szCs w:val="22"/>
        </w:rPr>
        <w:t xml:space="preserve"> medium investors</w:t>
      </w:r>
      <w:r w:rsidRPr="00532B73">
        <w:rPr>
          <w:sz w:val="22"/>
          <w:szCs w:val="22"/>
        </w:rPr>
        <w:t xml:space="preserve">, </w:t>
      </w:r>
      <w:r w:rsidR="00DA11E1" w:rsidRPr="00925E20">
        <w:rPr>
          <w:sz w:val="22"/>
          <w:szCs w:val="22"/>
        </w:rPr>
        <w:t>Article 45.1(2</w:t>
      </w:r>
      <w:r w:rsidR="00DA11E1" w:rsidRPr="00925E20">
        <w:rPr>
          <w:sz w:val="22"/>
          <w:szCs w:val="22"/>
          <w:vertAlign w:val="superscript"/>
        </w:rPr>
        <w:t>1</w:t>
      </w:r>
      <w:r w:rsidR="00DA11E1" w:rsidRPr="00925E20">
        <w:rPr>
          <w:sz w:val="22"/>
          <w:szCs w:val="22"/>
        </w:rPr>
        <w:t>) LLSA</w:t>
      </w:r>
      <w:r w:rsidRPr="00925E20">
        <w:rPr>
          <w:sz w:val="22"/>
          <w:szCs w:val="22"/>
        </w:rPr>
        <w:t xml:space="preserve"> </w:t>
      </w:r>
      <w:r w:rsidRPr="00532B73">
        <w:rPr>
          <w:sz w:val="22"/>
          <w:szCs w:val="22"/>
        </w:rPr>
        <w:t>prescribes</w:t>
      </w:r>
      <w:r w:rsidR="00DA11E1" w:rsidRPr="00925E20">
        <w:rPr>
          <w:sz w:val="22"/>
          <w:szCs w:val="22"/>
        </w:rPr>
        <w:t>:</w:t>
      </w:r>
    </w:p>
    <w:p w14:paraId="6E456F0B" w14:textId="61A9D8A5" w:rsidR="00925E20" w:rsidRDefault="00925E20" w:rsidP="00547627">
      <w:pPr>
        <w:pStyle w:val="MMultileveltable"/>
        <w:ind w:left="426"/>
      </w:pPr>
      <w:r w:rsidRPr="006C6C4F">
        <w:t xml:space="preserve">The investor’s personal investment </w:t>
      </w:r>
      <w:r w:rsidR="00D03FF9" w:rsidRPr="006C6C4F">
        <w:t xml:space="preserve">in </w:t>
      </w:r>
      <w:r w:rsidR="00D03FF9">
        <w:t>the company</w:t>
      </w:r>
      <w:r w:rsidR="00D03FF9" w:rsidRPr="006C6C4F">
        <w:t xml:space="preserve"> </w:t>
      </w:r>
      <w:r w:rsidRPr="006C6C4F">
        <w:t xml:space="preserve">must be at least </w:t>
      </w:r>
      <w:r>
        <w:t xml:space="preserve">EUR </w:t>
      </w:r>
      <w:r w:rsidRPr="006C6C4F">
        <w:t>260,000</w:t>
      </w:r>
      <w:r>
        <w:t>.</w:t>
      </w:r>
    </w:p>
    <w:p w14:paraId="4EE44887" w14:textId="7F852D5F" w:rsidR="00925E20" w:rsidRPr="006C6C4F" w:rsidRDefault="00925E20" w:rsidP="00547627">
      <w:pPr>
        <w:pStyle w:val="MMultileveltable"/>
        <w:ind w:left="426"/>
      </w:pPr>
      <w:r>
        <w:t>T</w:t>
      </w:r>
      <w:r w:rsidRPr="006C6C4F">
        <w:t xml:space="preserve">he investor </w:t>
      </w:r>
      <w:r>
        <w:t>must</w:t>
      </w:r>
      <w:r w:rsidRPr="006C6C4F">
        <w:t xml:space="preserve"> be the</w:t>
      </w:r>
      <w:r w:rsidRPr="00A52BC7">
        <w:t xml:space="preserve"> </w:t>
      </w:r>
      <w:r>
        <w:t>‘</w:t>
      </w:r>
      <w:r w:rsidRPr="00CF56ED">
        <w:t>manager of the enterprise</w:t>
      </w:r>
      <w:r>
        <w:t xml:space="preserve">’ </w:t>
      </w:r>
      <w:r w:rsidRPr="006C6C4F">
        <w:t xml:space="preserve">or a shareholder in a joint stock company owning at least </w:t>
      </w:r>
      <w:r>
        <w:t xml:space="preserve">one third </w:t>
      </w:r>
      <w:r w:rsidRPr="006C6C4F">
        <w:t>of the nominal value of the registered share capital.</w:t>
      </w:r>
    </w:p>
    <w:p w14:paraId="6AD3D68B" w14:textId="102B0A95" w:rsidR="00DA11E1" w:rsidRPr="006C6C4F" w:rsidRDefault="00925E20" w:rsidP="00547627">
      <w:pPr>
        <w:pStyle w:val="MMultileveltable"/>
        <w:ind w:left="426"/>
      </w:pPr>
      <w:r>
        <w:t>The company must carry</w:t>
      </w:r>
      <w:r w:rsidRPr="001F689D">
        <w:t xml:space="preserve"> </w:t>
      </w:r>
      <w:r w:rsidR="00DA11E1" w:rsidRPr="006C6C4F">
        <w:t xml:space="preserve">out the legally declared business activity for at least the last </w:t>
      </w:r>
      <w:r w:rsidR="00421724">
        <w:t>six</w:t>
      </w:r>
      <w:r w:rsidR="00DA11E1" w:rsidRPr="006C6C4F">
        <w:t xml:space="preserve"> months before the application for the temporary residence is filed (the genuine business presence requirement);</w:t>
      </w:r>
    </w:p>
    <w:p w14:paraId="5BDA73C0" w14:textId="170DEDF4" w:rsidR="00DA11E1" w:rsidRDefault="00925E20" w:rsidP="00547627">
      <w:pPr>
        <w:pStyle w:val="MMultileveltable"/>
        <w:ind w:left="426"/>
      </w:pPr>
      <w:r>
        <w:t xml:space="preserve">The company must employ </w:t>
      </w:r>
      <w:r w:rsidR="005445B6" w:rsidRPr="006C6C4F">
        <w:t xml:space="preserve">at </w:t>
      </w:r>
      <w:r w:rsidR="00DA11E1" w:rsidRPr="006C6C4F">
        <w:t xml:space="preserve">least five full-time workers who are Lithuanian, EU/EEA citizens or permanently residing foreign nationals. No conditions on workers’ pay level is set by the LLSA for such </w:t>
      </w:r>
      <w:r w:rsidR="00421724">
        <w:t>businesses</w:t>
      </w:r>
      <w:r w:rsidR="00DA11E1" w:rsidRPr="006C6C4F">
        <w:t>.</w:t>
      </w:r>
    </w:p>
    <w:p w14:paraId="231C64A8" w14:textId="77777777" w:rsidR="001F689D" w:rsidRDefault="001F689D" w:rsidP="00AE78BA">
      <w:pPr>
        <w:autoSpaceDE w:val="0"/>
        <w:autoSpaceDN w:val="0"/>
        <w:adjustRightInd w:val="0"/>
        <w:jc w:val="both"/>
        <w:rPr>
          <w:sz w:val="22"/>
          <w:szCs w:val="22"/>
        </w:rPr>
      </w:pPr>
    </w:p>
    <w:p w14:paraId="3C066123" w14:textId="32942E7D" w:rsidR="005D2C18" w:rsidRDefault="005D2C18" w:rsidP="00AE78BA">
      <w:pPr>
        <w:jc w:val="both"/>
        <w:rPr>
          <w:sz w:val="22"/>
          <w:szCs w:val="22"/>
        </w:rPr>
      </w:pPr>
      <w:r w:rsidRPr="006C6C4F">
        <w:rPr>
          <w:sz w:val="22"/>
          <w:szCs w:val="22"/>
        </w:rPr>
        <w:t xml:space="preserve">In addition to the special conditions above, foreign investors </w:t>
      </w:r>
      <w:r w:rsidR="00747BC9" w:rsidRPr="006C6C4F">
        <w:rPr>
          <w:sz w:val="22"/>
          <w:szCs w:val="22"/>
        </w:rPr>
        <w:t>must</w:t>
      </w:r>
      <w:r w:rsidRPr="006C6C4F">
        <w:rPr>
          <w:sz w:val="22"/>
          <w:szCs w:val="22"/>
        </w:rPr>
        <w:t xml:space="preserve"> meet other </w:t>
      </w:r>
      <w:r w:rsidRPr="003A3BB0">
        <w:rPr>
          <w:b/>
          <w:sz w:val="22"/>
          <w:szCs w:val="22"/>
        </w:rPr>
        <w:t>general requirements</w:t>
      </w:r>
      <w:r w:rsidRPr="006C6C4F">
        <w:rPr>
          <w:sz w:val="22"/>
          <w:szCs w:val="22"/>
        </w:rPr>
        <w:t xml:space="preserve">, as applied to </w:t>
      </w:r>
      <w:r w:rsidR="00747BC9" w:rsidRPr="006C6C4F">
        <w:rPr>
          <w:sz w:val="22"/>
          <w:szCs w:val="22"/>
        </w:rPr>
        <w:t>other</w:t>
      </w:r>
      <w:r w:rsidRPr="006C6C4F">
        <w:rPr>
          <w:sz w:val="22"/>
          <w:szCs w:val="22"/>
        </w:rPr>
        <w:t xml:space="preserve"> foreign TRP applicants:</w:t>
      </w:r>
    </w:p>
    <w:p w14:paraId="5BC944D8" w14:textId="25A18548" w:rsidR="00F73DC9" w:rsidRPr="006C6C4F" w:rsidRDefault="00F73DC9" w:rsidP="00547627">
      <w:pPr>
        <w:pStyle w:val="MMultileveltable"/>
        <w:ind w:left="426"/>
      </w:pPr>
      <w:r w:rsidRPr="006C6C4F">
        <w:t>Proof of</w:t>
      </w:r>
      <w:r w:rsidR="005D2C18" w:rsidRPr="006C6C4F">
        <w:t xml:space="preserve"> sufficient </w:t>
      </w:r>
      <w:r w:rsidRPr="006C6C4F">
        <w:t>financial resources for</w:t>
      </w:r>
      <w:r w:rsidR="005D2C18" w:rsidRPr="006C6C4F">
        <w:t xml:space="preserve"> subsistence;</w:t>
      </w:r>
      <w:r w:rsidR="00E85F7E" w:rsidRPr="00DE4C72">
        <w:rPr>
          <w:rStyle w:val="FootnoteReference"/>
        </w:rPr>
        <w:footnoteReference w:id="110"/>
      </w:r>
    </w:p>
    <w:p w14:paraId="5362F719" w14:textId="77777777" w:rsidR="00F73DC9" w:rsidRPr="006C6C4F" w:rsidRDefault="00F73DC9" w:rsidP="00547627">
      <w:pPr>
        <w:pStyle w:val="MMultileveltable"/>
        <w:ind w:left="426"/>
      </w:pPr>
      <w:r w:rsidRPr="006C6C4F">
        <w:t>Proof of a suitable</w:t>
      </w:r>
      <w:r w:rsidR="005D2C18" w:rsidRPr="006C6C4F">
        <w:t xml:space="preserve"> place of residence</w:t>
      </w:r>
      <w:r w:rsidRPr="006C6C4F">
        <w:t xml:space="preserve"> in Lithuania</w:t>
      </w:r>
      <w:r w:rsidR="005D2C18" w:rsidRPr="006C6C4F">
        <w:t>;</w:t>
      </w:r>
    </w:p>
    <w:p w14:paraId="16AE51C0" w14:textId="77777777" w:rsidR="00F73DC9" w:rsidRPr="006C6C4F" w:rsidRDefault="005D2C18" w:rsidP="00547627">
      <w:pPr>
        <w:pStyle w:val="MMultileveltable"/>
        <w:ind w:left="426"/>
      </w:pPr>
      <w:r w:rsidRPr="006C6C4F">
        <w:t>A certificate regarding (the absence of) a criminal record;</w:t>
      </w:r>
    </w:p>
    <w:p w14:paraId="3882FA28" w14:textId="637B61F6" w:rsidR="006521D4" w:rsidRPr="006C6C4F" w:rsidRDefault="00F73DC9" w:rsidP="00547627">
      <w:pPr>
        <w:pStyle w:val="MMultileveltable"/>
        <w:ind w:left="426"/>
      </w:pPr>
      <w:r w:rsidRPr="006C6C4F">
        <w:t>Evidence of</w:t>
      </w:r>
      <w:r w:rsidR="005D2C18" w:rsidRPr="006C6C4F">
        <w:t xml:space="preserve"> health insurance</w:t>
      </w:r>
      <w:r w:rsidR="0094006B" w:rsidRPr="00DE4C72">
        <w:rPr>
          <w:rStyle w:val="FootnoteReference"/>
        </w:rPr>
        <w:footnoteReference w:id="111"/>
      </w:r>
      <w:r w:rsidR="005D2C18" w:rsidRPr="006C6C4F">
        <w:t xml:space="preserve"> (insurance sum – EUR 6000);</w:t>
      </w:r>
    </w:p>
    <w:p w14:paraId="13C3AE58" w14:textId="0DBA850E" w:rsidR="006521D4" w:rsidRPr="006C6C4F" w:rsidRDefault="005D2C18" w:rsidP="00547627">
      <w:pPr>
        <w:pStyle w:val="MMultileveltable"/>
        <w:ind w:left="426"/>
      </w:pPr>
      <w:r w:rsidRPr="006C6C4F">
        <w:t>A list of trips and residence in foreign states;</w:t>
      </w:r>
      <w:r w:rsidR="00A864C4" w:rsidRPr="00DE4C72">
        <w:rPr>
          <w:rStyle w:val="FootnoteReference"/>
        </w:rPr>
        <w:footnoteReference w:id="112"/>
      </w:r>
    </w:p>
    <w:p w14:paraId="55042954" w14:textId="0F6A0E82" w:rsidR="005D2C18" w:rsidRDefault="005D2C18" w:rsidP="00547627">
      <w:pPr>
        <w:pStyle w:val="MMultileveltable"/>
        <w:ind w:left="426"/>
      </w:pPr>
      <w:r w:rsidRPr="006C6C4F">
        <w:t xml:space="preserve">A document confirming the legal </w:t>
      </w:r>
      <w:r w:rsidR="00747BC9" w:rsidRPr="006C6C4F">
        <w:t>residence</w:t>
      </w:r>
      <w:r w:rsidRPr="006C6C4F">
        <w:t xml:space="preserve">, if </w:t>
      </w:r>
      <w:r w:rsidR="00747BC9" w:rsidRPr="006C6C4F">
        <w:t>the investor</w:t>
      </w:r>
      <w:r w:rsidRPr="006C6C4F">
        <w:t xml:space="preserve"> submit</w:t>
      </w:r>
      <w:r w:rsidR="00747BC9" w:rsidRPr="006C6C4F">
        <w:t>s</w:t>
      </w:r>
      <w:r w:rsidRPr="006C6C4F">
        <w:t xml:space="preserve"> the application while staying in Lithuania</w:t>
      </w:r>
      <w:r w:rsidR="00D27ACE">
        <w:t>;</w:t>
      </w:r>
      <w:r w:rsidR="00D27ACE" w:rsidRPr="00DE4C72">
        <w:rPr>
          <w:rStyle w:val="FootnoteReference"/>
        </w:rPr>
        <w:footnoteReference w:id="113"/>
      </w:r>
    </w:p>
    <w:p w14:paraId="14454F4A" w14:textId="53CC5F4E" w:rsidR="00D27ACE" w:rsidRDefault="00D27ACE" w:rsidP="00547627">
      <w:pPr>
        <w:pStyle w:val="MMultileveltable"/>
        <w:ind w:left="426"/>
      </w:pPr>
      <w:r>
        <w:lastRenderedPageBreak/>
        <w:t>A photograph</w:t>
      </w:r>
      <w:r w:rsidR="00675F7F">
        <w:t>,</w:t>
      </w:r>
      <w:r w:rsidRPr="00DE4C72">
        <w:rPr>
          <w:rStyle w:val="FootnoteReference"/>
        </w:rPr>
        <w:footnoteReference w:id="114"/>
      </w:r>
      <w:r>
        <w:t xml:space="preserve"> a valid travel document</w:t>
      </w:r>
      <w:r w:rsidRPr="00DE4C72">
        <w:rPr>
          <w:rStyle w:val="FootnoteReference"/>
        </w:rPr>
        <w:footnoteReference w:id="115"/>
      </w:r>
      <w:r w:rsidR="00675F7F">
        <w:t xml:space="preserve"> and </w:t>
      </w:r>
      <w:r w:rsidR="00A93708">
        <w:t>t</w:t>
      </w:r>
      <w:r w:rsidR="00675F7F" w:rsidRPr="00675F7F">
        <w:t xml:space="preserve">he receipt showing that the state </w:t>
      </w:r>
      <w:r w:rsidR="00675F7F">
        <w:t xml:space="preserve">TRP </w:t>
      </w:r>
      <w:r w:rsidR="00675F7F" w:rsidRPr="00675F7F">
        <w:t>application fee was paid</w:t>
      </w:r>
      <w:r w:rsidR="00675F7F">
        <w:t>.</w:t>
      </w:r>
      <w:r w:rsidR="00675F7F" w:rsidRPr="00DE4C72">
        <w:rPr>
          <w:rStyle w:val="FootnoteReference"/>
        </w:rPr>
        <w:footnoteReference w:id="116"/>
      </w:r>
    </w:p>
    <w:p w14:paraId="62711903" w14:textId="77777777" w:rsidR="00460F8D" w:rsidRPr="006C6C4F" w:rsidRDefault="00460F8D" w:rsidP="00460F8D">
      <w:pPr>
        <w:pStyle w:val="MMultilevel"/>
        <w:ind w:left="425"/>
      </w:pPr>
    </w:p>
    <w:p w14:paraId="25336234" w14:textId="77777777" w:rsidR="00F81F13" w:rsidRPr="006C6C4F" w:rsidRDefault="00F81F13" w:rsidP="00BD2F76">
      <w:pPr>
        <w:pStyle w:val="MMultileveltable"/>
        <w:ind w:left="426"/>
        <w:rPr>
          <w:b/>
          <w:i/>
        </w:rPr>
      </w:pPr>
      <w:r w:rsidRPr="006C6C4F">
        <w:rPr>
          <w:b/>
          <w:i/>
        </w:rPr>
        <w:t>Application fee</w:t>
      </w:r>
      <w:r w:rsidR="00E81BC6" w:rsidRPr="00BD2F76">
        <w:rPr>
          <w:b/>
          <w:i/>
        </w:rPr>
        <w:footnoteReference w:id="117"/>
      </w:r>
    </w:p>
    <w:p w14:paraId="3F4B35D0" w14:textId="77777777" w:rsidR="00F81F13" w:rsidRPr="006C6C4F" w:rsidRDefault="00F81F13" w:rsidP="00421724">
      <w:pPr>
        <w:pStyle w:val="ListParagraph"/>
        <w:rPr>
          <w:i/>
        </w:rPr>
      </w:pPr>
    </w:p>
    <w:p w14:paraId="435C4CFF" w14:textId="2C6287D2" w:rsidR="007479F4" w:rsidRDefault="007479F4" w:rsidP="00AE78BA">
      <w:pPr>
        <w:pStyle w:val="CommentText"/>
        <w:rPr>
          <w:sz w:val="22"/>
          <w:szCs w:val="22"/>
        </w:rPr>
      </w:pPr>
      <w:r w:rsidRPr="00AE78BA">
        <w:rPr>
          <w:sz w:val="22"/>
          <w:szCs w:val="22"/>
        </w:rPr>
        <w:t xml:space="preserve">For the </w:t>
      </w:r>
      <w:r w:rsidRPr="00AE78BA">
        <w:rPr>
          <w:b/>
          <w:sz w:val="22"/>
          <w:szCs w:val="22"/>
        </w:rPr>
        <w:t>consideration of the application</w:t>
      </w:r>
      <w:r w:rsidRPr="00AE78BA">
        <w:rPr>
          <w:sz w:val="22"/>
          <w:szCs w:val="22"/>
        </w:rPr>
        <w:t xml:space="preserve"> for issuing / replacing the </w:t>
      </w:r>
      <w:r w:rsidR="00421724" w:rsidRPr="00AE78BA">
        <w:rPr>
          <w:sz w:val="22"/>
          <w:szCs w:val="22"/>
        </w:rPr>
        <w:t>TRP</w:t>
      </w:r>
      <w:r w:rsidR="00F827CB" w:rsidRPr="00AE78BA">
        <w:rPr>
          <w:sz w:val="22"/>
          <w:szCs w:val="22"/>
        </w:rPr>
        <w:t xml:space="preserve"> (the processing of the application and all scrutiny checks, in order to determine whether a foreigner should be granted the right to temporary residence)</w:t>
      </w:r>
      <w:r w:rsidRPr="00AE78BA">
        <w:rPr>
          <w:sz w:val="22"/>
          <w:szCs w:val="22"/>
        </w:rPr>
        <w:t>:</w:t>
      </w:r>
    </w:p>
    <w:p w14:paraId="4702A3B6" w14:textId="33595FCF" w:rsidR="007479F4" w:rsidRPr="001F689D" w:rsidRDefault="00421724" w:rsidP="00547627">
      <w:pPr>
        <w:pStyle w:val="MMultileveltable"/>
        <w:ind w:left="426"/>
      </w:pPr>
      <w:r w:rsidRPr="001F689D">
        <w:t>General procedure</w:t>
      </w:r>
      <w:r w:rsidR="007479F4" w:rsidRPr="001F689D">
        <w:t xml:space="preserve"> – EUR 86;</w:t>
      </w:r>
    </w:p>
    <w:p w14:paraId="4B4F451F" w14:textId="06BD4B7D" w:rsidR="007479F4" w:rsidRPr="001F689D" w:rsidRDefault="00421724" w:rsidP="00547627">
      <w:pPr>
        <w:pStyle w:val="MMultileveltable"/>
        <w:ind w:left="426"/>
      </w:pPr>
      <w:r w:rsidRPr="001F689D">
        <w:t>Urgent procedure</w:t>
      </w:r>
      <w:r w:rsidR="007479F4" w:rsidRPr="001F689D">
        <w:t xml:space="preserve"> – EUR 172;</w:t>
      </w:r>
    </w:p>
    <w:p w14:paraId="3B1BA575" w14:textId="77777777" w:rsidR="007479F4" w:rsidRPr="00AE78BA" w:rsidRDefault="007479F4" w:rsidP="00421724">
      <w:pPr>
        <w:pStyle w:val="MMultilevel"/>
        <w:rPr>
          <w:lang w:val="en-GB"/>
        </w:rPr>
      </w:pPr>
    </w:p>
    <w:p w14:paraId="2EA74243" w14:textId="71BC48D7" w:rsidR="007479F4" w:rsidRDefault="007479F4" w:rsidP="00421724">
      <w:pPr>
        <w:pStyle w:val="MMultilevel"/>
        <w:rPr>
          <w:lang w:val="en-GB"/>
        </w:rPr>
      </w:pPr>
      <w:r w:rsidRPr="00AE78BA">
        <w:rPr>
          <w:lang w:val="en-GB"/>
        </w:rPr>
        <w:t xml:space="preserve">For the </w:t>
      </w:r>
      <w:r w:rsidR="00F827CB" w:rsidRPr="00AE78BA">
        <w:rPr>
          <w:b/>
          <w:lang w:val="en-GB"/>
        </w:rPr>
        <w:t>issuing</w:t>
      </w:r>
      <w:r w:rsidR="00F827CB" w:rsidRPr="00AE78BA">
        <w:rPr>
          <w:lang w:val="en-GB"/>
        </w:rPr>
        <w:t xml:space="preserve"> </w:t>
      </w:r>
      <w:r w:rsidRPr="00AE78BA">
        <w:rPr>
          <w:lang w:val="en-GB"/>
        </w:rPr>
        <w:t xml:space="preserve">of the </w:t>
      </w:r>
      <w:r w:rsidR="00421724" w:rsidRPr="00AE78BA">
        <w:rPr>
          <w:lang w:val="en-GB"/>
        </w:rPr>
        <w:t>TRP</w:t>
      </w:r>
      <w:r w:rsidRPr="00AE78BA">
        <w:rPr>
          <w:lang w:val="en-GB"/>
        </w:rPr>
        <w:t xml:space="preserve"> (the payment will have to be made later, when applying for the formalisation of the residence permit):</w:t>
      </w:r>
    </w:p>
    <w:p w14:paraId="61A5C620" w14:textId="39FDF669" w:rsidR="007479F4" w:rsidRPr="001F689D" w:rsidRDefault="00421724" w:rsidP="00547627">
      <w:pPr>
        <w:pStyle w:val="MMultileveltable"/>
        <w:ind w:left="426"/>
      </w:pPr>
      <w:r w:rsidRPr="001F689D">
        <w:t>General procedure</w:t>
      </w:r>
      <w:r w:rsidR="007479F4" w:rsidRPr="001F689D">
        <w:t xml:space="preserve"> – EUR 28;</w:t>
      </w:r>
    </w:p>
    <w:p w14:paraId="2FAEA5E6" w14:textId="364BFC5F" w:rsidR="007479F4" w:rsidRPr="001F689D" w:rsidRDefault="00421724" w:rsidP="00547627">
      <w:pPr>
        <w:pStyle w:val="MMultileveltable"/>
        <w:ind w:left="426"/>
      </w:pPr>
      <w:r w:rsidRPr="001F689D">
        <w:t>Urgent procedure</w:t>
      </w:r>
      <w:r w:rsidR="007479F4" w:rsidRPr="001F689D">
        <w:t xml:space="preserve"> – EUR 56.  </w:t>
      </w:r>
    </w:p>
    <w:p w14:paraId="5A1F2E16" w14:textId="77777777" w:rsidR="00F81F13" w:rsidRPr="00AE78BA" w:rsidRDefault="00F81F13" w:rsidP="00B44BF8">
      <w:pPr>
        <w:pStyle w:val="MMultilevel"/>
        <w:rPr>
          <w:i/>
          <w:lang w:val="en-GB"/>
        </w:rPr>
      </w:pPr>
    </w:p>
    <w:p w14:paraId="7937F168" w14:textId="77777777" w:rsidR="00B311A7" w:rsidRPr="006C6C4F" w:rsidRDefault="00F81F13" w:rsidP="00BD2F76">
      <w:pPr>
        <w:pStyle w:val="MMultileveltable"/>
        <w:ind w:left="426"/>
        <w:rPr>
          <w:b/>
          <w:i/>
        </w:rPr>
      </w:pPr>
      <w:bookmarkStart w:id="31" w:name="_Hlk496121427"/>
      <w:r w:rsidRPr="006C6C4F">
        <w:rPr>
          <w:b/>
          <w:i/>
        </w:rPr>
        <w:t>T</w:t>
      </w:r>
      <w:r w:rsidR="00B311A7" w:rsidRPr="006C6C4F">
        <w:rPr>
          <w:b/>
          <w:i/>
        </w:rPr>
        <w:t>he reasons</w:t>
      </w:r>
      <w:r w:rsidRPr="006C6C4F">
        <w:rPr>
          <w:b/>
          <w:i/>
        </w:rPr>
        <w:t xml:space="preserve"> for turning-down applications</w:t>
      </w:r>
    </w:p>
    <w:p w14:paraId="723526CD" w14:textId="77777777" w:rsidR="00561BFE" w:rsidRPr="006C6C4F" w:rsidRDefault="00561BFE" w:rsidP="00F81F13">
      <w:pPr>
        <w:pStyle w:val="MMultilevel"/>
        <w:rPr>
          <w:lang w:val="en-GB"/>
        </w:rPr>
      </w:pPr>
    </w:p>
    <w:p w14:paraId="7C1E88C5" w14:textId="026C2FF1" w:rsidR="00E6796A" w:rsidRDefault="00E6796A" w:rsidP="00E6796A">
      <w:pPr>
        <w:rPr>
          <w:sz w:val="22"/>
          <w:szCs w:val="22"/>
        </w:rPr>
      </w:pPr>
      <w:r w:rsidRPr="00411471">
        <w:rPr>
          <w:sz w:val="22"/>
          <w:szCs w:val="22"/>
        </w:rPr>
        <w:t>A decision not to issue/renew</w:t>
      </w:r>
      <w:r w:rsidR="00421724" w:rsidRPr="00411471">
        <w:rPr>
          <w:sz w:val="22"/>
          <w:szCs w:val="22"/>
        </w:rPr>
        <w:t xml:space="preserve"> a</w:t>
      </w:r>
      <w:r w:rsidRPr="00411471">
        <w:rPr>
          <w:sz w:val="22"/>
          <w:szCs w:val="22"/>
        </w:rPr>
        <w:t xml:space="preserve"> TRP to a foreign investor is taken when the following grounds are present:</w:t>
      </w:r>
      <w:r w:rsidRPr="004C4CE9">
        <w:rPr>
          <w:rStyle w:val="FootnoteReference"/>
        </w:rPr>
        <w:footnoteReference w:id="118"/>
      </w:r>
    </w:p>
    <w:p w14:paraId="3A71E8F9" w14:textId="77777777" w:rsidR="00E6796A" w:rsidRPr="00411471" w:rsidRDefault="00E6796A" w:rsidP="00547627">
      <w:pPr>
        <w:pStyle w:val="MMultileveltable"/>
        <w:ind w:left="426"/>
      </w:pPr>
      <w:r w:rsidRPr="00411471">
        <w:t>Their residence in Lithuania poses a risk to public security, public order or public health;</w:t>
      </w:r>
    </w:p>
    <w:p w14:paraId="3F037897" w14:textId="77777777" w:rsidR="00E6796A" w:rsidRPr="00411471" w:rsidRDefault="00E6796A" w:rsidP="00547627">
      <w:pPr>
        <w:pStyle w:val="MMultileveltable"/>
        <w:ind w:left="426"/>
      </w:pPr>
      <w:r w:rsidRPr="00411471">
        <w:t>The information supplied is untruthful, or the documents are falsified, or there are serious grounds to suspect that the company they are running/own is fictitious;</w:t>
      </w:r>
    </w:p>
    <w:p w14:paraId="0336146C" w14:textId="77777777" w:rsidR="00E6796A" w:rsidRPr="00411471" w:rsidRDefault="00E6796A" w:rsidP="00547627">
      <w:pPr>
        <w:pStyle w:val="MMultileveltable"/>
        <w:ind w:left="426"/>
      </w:pPr>
      <w:r w:rsidRPr="00411471">
        <w:t>Another Schengen country has issued an entry warning and there are no humanitarian reasons; or the foreigner is listed in the national list of prohibited persons;</w:t>
      </w:r>
    </w:p>
    <w:p w14:paraId="4CBA255C" w14:textId="119CD95D" w:rsidR="00E6796A" w:rsidRPr="00411471" w:rsidRDefault="00E6796A" w:rsidP="00547627">
      <w:pPr>
        <w:pStyle w:val="MMultileveltable"/>
        <w:ind w:left="426"/>
      </w:pPr>
      <w:r w:rsidRPr="00411471">
        <w:t>Does not have sufficient financial resources to live in Lithuania;</w:t>
      </w:r>
      <w:r w:rsidR="005E33BB" w:rsidRPr="00DE4C72">
        <w:rPr>
          <w:rStyle w:val="FootnoteReference"/>
        </w:rPr>
        <w:footnoteReference w:id="119"/>
      </w:r>
    </w:p>
    <w:p w14:paraId="1C38281F" w14:textId="77777777" w:rsidR="00E6796A" w:rsidRPr="00411471" w:rsidRDefault="00E6796A" w:rsidP="00547627">
      <w:pPr>
        <w:pStyle w:val="MMultileveltable"/>
        <w:ind w:left="426"/>
      </w:pPr>
      <w:r w:rsidRPr="00411471">
        <w:t>Does not have a suitable property to reside in for the duration of their stay;</w:t>
      </w:r>
    </w:p>
    <w:p w14:paraId="3167F4BF" w14:textId="77777777" w:rsidR="00E6796A" w:rsidRPr="00411471" w:rsidRDefault="00E6796A" w:rsidP="00547627">
      <w:pPr>
        <w:pStyle w:val="MMultileveltable"/>
        <w:ind w:left="426"/>
      </w:pPr>
      <w:r w:rsidRPr="00411471">
        <w:t>Does not have a valid health insurance;</w:t>
      </w:r>
    </w:p>
    <w:p w14:paraId="7C2501CC" w14:textId="77777777" w:rsidR="00E6796A" w:rsidRPr="00411471" w:rsidRDefault="00E6796A" w:rsidP="00547627">
      <w:pPr>
        <w:pStyle w:val="MMultileveltable"/>
        <w:ind w:left="426"/>
      </w:pPr>
      <w:r w:rsidRPr="00411471">
        <w:t>There is a serious ground to believe s/he has committed or convinced others to commit crimes against peace, humanity or war crimes;</w:t>
      </w:r>
    </w:p>
    <w:p w14:paraId="32C2FB14" w14:textId="77777777" w:rsidR="00E6796A" w:rsidRPr="00411471" w:rsidRDefault="00E6796A" w:rsidP="00547627">
      <w:pPr>
        <w:pStyle w:val="MMultileveltable"/>
        <w:ind w:left="426"/>
      </w:pPr>
      <w:r w:rsidRPr="00411471">
        <w:t>Did not comply repeatedly with the requests to notify state authorities about the changes in personal circumstances listed in Article 36 LLSA;</w:t>
      </w:r>
    </w:p>
    <w:p w14:paraId="7D26ED6D" w14:textId="77777777" w:rsidR="00E6796A" w:rsidRPr="00411471" w:rsidRDefault="00E6796A" w:rsidP="00547627">
      <w:pPr>
        <w:pStyle w:val="MMultileveltable"/>
        <w:ind w:left="426"/>
      </w:pPr>
      <w:r w:rsidRPr="00411471">
        <w:t>S/he owns tax of the amount larger than one Basic Social Benefit;</w:t>
      </w:r>
      <w:r w:rsidRPr="00DE4C72">
        <w:rPr>
          <w:rStyle w:val="FootnoteReference"/>
        </w:rPr>
        <w:footnoteReference w:id="120"/>
      </w:r>
    </w:p>
    <w:p w14:paraId="596F7385" w14:textId="7262546E" w:rsidR="00E6796A" w:rsidRPr="00411471" w:rsidRDefault="00E6796A" w:rsidP="00547627">
      <w:pPr>
        <w:pStyle w:val="MMultileveltable"/>
        <w:ind w:left="426"/>
      </w:pPr>
      <w:r w:rsidRPr="00411471">
        <w:t>There are serious grounds to believe that there is a risk of illegal migration;</w:t>
      </w:r>
      <w:r w:rsidR="00C87B35" w:rsidRPr="00DE4C72">
        <w:rPr>
          <w:rStyle w:val="FootnoteReference"/>
        </w:rPr>
        <w:footnoteReference w:id="121"/>
      </w:r>
    </w:p>
    <w:p w14:paraId="23AF9826" w14:textId="77777777" w:rsidR="00E6796A" w:rsidRPr="00411471" w:rsidRDefault="00E6796A" w:rsidP="00547627">
      <w:pPr>
        <w:pStyle w:val="MMultileveltable"/>
        <w:ind w:left="426"/>
      </w:pPr>
      <w:r w:rsidRPr="00411471">
        <w:lastRenderedPageBreak/>
        <w:t>They do not supply the information documents required to issue/renew TRP during the time periods listed in Article 33.4 LLSA;</w:t>
      </w:r>
    </w:p>
    <w:p w14:paraId="226CB3B0" w14:textId="77777777" w:rsidR="00E6796A" w:rsidRPr="00411471" w:rsidRDefault="00E6796A" w:rsidP="00547627">
      <w:pPr>
        <w:pStyle w:val="MMultileveltable"/>
        <w:ind w:left="426"/>
      </w:pPr>
      <w:r w:rsidRPr="00411471">
        <w:t>They do not meet the special TRP conditions for foreign investors under Articles 45.1(1) and 45.1(2</w:t>
      </w:r>
      <w:r w:rsidRPr="00411471">
        <w:rPr>
          <w:vertAlign w:val="superscript"/>
        </w:rPr>
        <w:t>1</w:t>
      </w:r>
      <w:r w:rsidRPr="00411471">
        <w:t>) LLSA;</w:t>
      </w:r>
    </w:p>
    <w:p w14:paraId="3F361E29" w14:textId="77777777" w:rsidR="00E6796A" w:rsidRPr="00411471" w:rsidRDefault="00E6796A" w:rsidP="00547627">
      <w:pPr>
        <w:pStyle w:val="MMultileveltable"/>
        <w:ind w:left="426"/>
      </w:pPr>
      <w:r w:rsidRPr="00411471">
        <w:t>There are serious grounds to believe that the request for TRP is used to avoid the enforcement criminal liability abroad, where Lithuanian law prescribes criminal liability for such actions, or the foreigner will commit crime in Lithuania.</w:t>
      </w:r>
    </w:p>
    <w:p w14:paraId="6D8304FD" w14:textId="77777777" w:rsidR="00AE78BA" w:rsidRPr="006C6C4F" w:rsidRDefault="00AE78BA" w:rsidP="00B44BF8">
      <w:pPr>
        <w:pStyle w:val="MMultilevel"/>
        <w:rPr>
          <w:lang w:val="en-GB"/>
        </w:rPr>
      </w:pPr>
    </w:p>
    <w:bookmarkEnd w:id="31"/>
    <w:p w14:paraId="39A63AA2" w14:textId="77777777" w:rsidR="00B311A7" w:rsidRPr="006C6C4F" w:rsidRDefault="00F81F13" w:rsidP="00BD2F76">
      <w:pPr>
        <w:pStyle w:val="MMultileveltable"/>
        <w:ind w:left="426"/>
        <w:rPr>
          <w:b/>
          <w:i/>
        </w:rPr>
      </w:pPr>
      <w:r w:rsidRPr="006C6C4F">
        <w:rPr>
          <w:b/>
          <w:i/>
        </w:rPr>
        <w:t>Legal</w:t>
      </w:r>
      <w:r w:rsidR="002B0464" w:rsidRPr="006C6C4F">
        <w:rPr>
          <w:b/>
          <w:i/>
        </w:rPr>
        <w:t xml:space="preserve"> remedy(ies)</w:t>
      </w:r>
      <w:r w:rsidR="00B311A7" w:rsidRPr="006C6C4F">
        <w:rPr>
          <w:b/>
          <w:i/>
        </w:rPr>
        <w:t xml:space="preserve"> in t</w:t>
      </w:r>
      <w:r w:rsidRPr="006C6C4F">
        <w:rPr>
          <w:b/>
          <w:i/>
        </w:rPr>
        <w:t>he case of refusal of residence</w:t>
      </w:r>
    </w:p>
    <w:p w14:paraId="392439CF" w14:textId="77777777" w:rsidR="004D37E8" w:rsidRPr="006C6C4F" w:rsidRDefault="004D37E8" w:rsidP="00B44BF8">
      <w:pPr>
        <w:pStyle w:val="ListParagraph"/>
        <w:ind w:left="0"/>
      </w:pPr>
    </w:p>
    <w:p w14:paraId="38341A34" w14:textId="2EE7A2B1" w:rsidR="001B57F4" w:rsidRPr="006C6C4F" w:rsidRDefault="00E6796A" w:rsidP="006567BB">
      <w:pPr>
        <w:pStyle w:val="MMultilevel"/>
        <w:rPr>
          <w:i/>
          <w:lang w:val="en-GB"/>
        </w:rPr>
      </w:pPr>
      <w:r w:rsidRPr="006C6C4F">
        <w:t>All decisions taken by the Migration Department can be challenged via courts.</w:t>
      </w:r>
      <w:r w:rsidRPr="00DE4C72">
        <w:rPr>
          <w:rStyle w:val="FootnoteReference"/>
        </w:rPr>
        <w:footnoteReference w:id="122"/>
      </w:r>
    </w:p>
    <w:p w14:paraId="41DE209F" w14:textId="6A8FB653" w:rsidR="001B57F4" w:rsidRPr="006C6C4F" w:rsidRDefault="00C87B35" w:rsidP="00421724">
      <w:pPr>
        <w:pStyle w:val="MMultilevel"/>
        <w:rPr>
          <w:lang w:val="en-GB"/>
        </w:rPr>
      </w:pPr>
      <w:r>
        <w:rPr>
          <w:lang w:val="en-GB"/>
        </w:rPr>
        <w:t>A p</w:t>
      </w:r>
      <w:r w:rsidRPr="006C6C4F">
        <w:rPr>
          <w:lang w:val="en-GB"/>
        </w:rPr>
        <w:t xml:space="preserve">ositive </w:t>
      </w:r>
      <w:r w:rsidR="001B57F4" w:rsidRPr="006C6C4F">
        <w:rPr>
          <w:lang w:val="en-GB"/>
        </w:rPr>
        <w:t>decision</w:t>
      </w:r>
      <w:r>
        <w:rPr>
          <w:lang w:val="en-GB"/>
        </w:rPr>
        <w:t xml:space="preserve"> granting a TRP</w:t>
      </w:r>
      <w:r w:rsidR="001B57F4" w:rsidRPr="006C6C4F">
        <w:rPr>
          <w:lang w:val="en-GB"/>
        </w:rPr>
        <w:t xml:space="preserve"> </w:t>
      </w:r>
      <w:r w:rsidR="00F827CB">
        <w:rPr>
          <w:lang w:val="en-GB"/>
        </w:rPr>
        <w:t xml:space="preserve">may be </w:t>
      </w:r>
      <w:r w:rsidR="001B57F4" w:rsidRPr="006C6C4F">
        <w:rPr>
          <w:lang w:val="en-GB"/>
        </w:rPr>
        <w:t>contested</w:t>
      </w:r>
      <w:r w:rsidR="00F827CB">
        <w:rPr>
          <w:lang w:val="en-GB"/>
        </w:rPr>
        <w:t xml:space="preserve"> but this is not common</w:t>
      </w:r>
      <w:r w:rsidR="001B57F4" w:rsidRPr="006C6C4F">
        <w:rPr>
          <w:lang w:val="en-GB"/>
        </w:rPr>
        <w:t>.</w:t>
      </w:r>
      <w:r w:rsidR="006C6C4F" w:rsidRPr="004C4CE9">
        <w:rPr>
          <w:rStyle w:val="FootnoteReference"/>
        </w:rPr>
        <w:footnoteReference w:id="123"/>
      </w:r>
    </w:p>
    <w:p w14:paraId="0196448A" w14:textId="77777777" w:rsidR="003B3938" w:rsidRPr="006C6C4F" w:rsidRDefault="003B3938" w:rsidP="00421724">
      <w:pPr>
        <w:pStyle w:val="MBT"/>
        <w:rPr>
          <w:lang w:val="en-GB"/>
        </w:rPr>
      </w:pPr>
    </w:p>
    <w:p w14:paraId="7CD00E43" w14:textId="77777777" w:rsidR="003B3938" w:rsidRPr="006C6C4F" w:rsidRDefault="003B3938" w:rsidP="00421724">
      <w:pPr>
        <w:pStyle w:val="MBT"/>
        <w:rPr>
          <w:lang w:val="en-GB"/>
        </w:rPr>
      </w:pPr>
    </w:p>
    <w:p w14:paraId="54C02005" w14:textId="77777777" w:rsidR="00B311A7" w:rsidRPr="006C6C4F" w:rsidRDefault="00B311A7" w:rsidP="00421724">
      <w:pPr>
        <w:pStyle w:val="MH2"/>
        <w:outlineLvl w:val="9"/>
      </w:pPr>
      <w:bookmarkStart w:id="32" w:name="_Hlk496121285"/>
      <w:r w:rsidRPr="006C6C4F">
        <w:t>Competent authorities</w:t>
      </w:r>
      <w:r w:rsidR="00B65D4C" w:rsidRPr="006C6C4F">
        <w:t xml:space="preserve"> AND NON-PUBLIC BODIES</w:t>
      </w:r>
    </w:p>
    <w:p w14:paraId="6999329C" w14:textId="07D69FE0" w:rsidR="004953AC" w:rsidRDefault="004953AC" w:rsidP="00164721">
      <w:pPr>
        <w:pStyle w:val="MBT"/>
        <w:rPr>
          <w:lang w:val="en-GB"/>
        </w:rPr>
      </w:pPr>
      <w:r w:rsidRPr="006C6C4F">
        <w:rPr>
          <w:lang w:val="en-GB"/>
        </w:rPr>
        <w:t>According to Article 4.1 LLSA, the key institutions that control the presence and residence of foreign nationals in Lithuania are as follows:</w:t>
      </w:r>
    </w:p>
    <w:p w14:paraId="35377FDC" w14:textId="77777777" w:rsidR="004953AC" w:rsidRPr="006C6C4F" w:rsidRDefault="004953AC" w:rsidP="00547627">
      <w:pPr>
        <w:pStyle w:val="MMultileveltable"/>
        <w:ind w:left="426"/>
      </w:pPr>
      <w:r w:rsidRPr="006C6C4F">
        <w:t>Police Department at the Ministry of the Interior</w:t>
      </w:r>
    </w:p>
    <w:p w14:paraId="2D30F80F" w14:textId="77777777" w:rsidR="004953AC" w:rsidRPr="006C6C4F" w:rsidRDefault="004953AC" w:rsidP="00547627">
      <w:pPr>
        <w:pStyle w:val="MMultileveltable"/>
        <w:ind w:left="426"/>
      </w:pPr>
      <w:r w:rsidRPr="006C6C4F">
        <w:t>Migration Department at the Ministry of the Interior</w:t>
      </w:r>
    </w:p>
    <w:p w14:paraId="4AA928D2" w14:textId="77777777" w:rsidR="004953AC" w:rsidRPr="006C6C4F" w:rsidRDefault="004953AC" w:rsidP="00547627">
      <w:pPr>
        <w:pStyle w:val="MMultileveltable"/>
        <w:ind w:left="426"/>
      </w:pPr>
      <w:r w:rsidRPr="006C6C4F">
        <w:t>State Border Guard Service at the Ministry of the Interior</w:t>
      </w:r>
    </w:p>
    <w:p w14:paraId="568FE42B" w14:textId="77777777" w:rsidR="004953AC" w:rsidRPr="006C6C4F" w:rsidRDefault="004953AC" w:rsidP="00B44BF8">
      <w:pPr>
        <w:pStyle w:val="MMultilevel"/>
        <w:rPr>
          <w:lang w:val="en-GB"/>
        </w:rPr>
      </w:pPr>
    </w:p>
    <w:p w14:paraId="69312454" w14:textId="6CD42C74" w:rsidR="004953AC" w:rsidRPr="006C6C4F" w:rsidRDefault="004953AC" w:rsidP="00B44BF8">
      <w:pPr>
        <w:pStyle w:val="MMultilevel"/>
        <w:rPr>
          <w:lang w:val="en-GB"/>
        </w:rPr>
      </w:pPr>
      <w:r w:rsidRPr="006C6C4F">
        <w:rPr>
          <w:lang w:val="en-GB"/>
        </w:rPr>
        <w:t xml:space="preserve">There are no non-public bodies involved in issuing TRPs for foreign investors. </w:t>
      </w:r>
    </w:p>
    <w:p w14:paraId="1D4B9B23" w14:textId="77777777" w:rsidR="004953AC" w:rsidRPr="006C6C4F" w:rsidRDefault="004953AC" w:rsidP="001575AD">
      <w:pPr>
        <w:pStyle w:val="MMultilevel"/>
        <w:rPr>
          <w:lang w:val="en-GB"/>
        </w:rPr>
      </w:pPr>
    </w:p>
    <w:p w14:paraId="788B416A" w14:textId="02D85983" w:rsidR="00193AF5" w:rsidRPr="006C6C4F" w:rsidRDefault="004953AC" w:rsidP="001575AD">
      <w:pPr>
        <w:pStyle w:val="MMultilevel"/>
        <w:rPr>
          <w:lang w:val="en-GB"/>
        </w:rPr>
      </w:pPr>
      <w:r w:rsidRPr="006C6C4F">
        <w:rPr>
          <w:lang w:val="en-GB"/>
        </w:rPr>
        <w:t xml:space="preserve">Drawing on the detailed legal provisions provided in Section II(1.1) of this </w:t>
      </w:r>
      <w:r w:rsidR="00D732A6" w:rsidRPr="006C6C4F">
        <w:rPr>
          <w:lang w:val="en-GB"/>
        </w:rPr>
        <w:t>Country Fiche</w:t>
      </w:r>
      <w:r w:rsidRPr="006C6C4F">
        <w:rPr>
          <w:lang w:val="en-GB"/>
        </w:rPr>
        <w:t>, b</w:t>
      </w:r>
      <w:r w:rsidR="00193AF5" w:rsidRPr="006C6C4F">
        <w:rPr>
          <w:lang w:val="en-GB"/>
        </w:rPr>
        <w:t xml:space="preserve">elow is the summary of </w:t>
      </w:r>
      <w:r w:rsidRPr="006C6C4F">
        <w:rPr>
          <w:lang w:val="en-GB"/>
        </w:rPr>
        <w:t>the competent authorities</w:t>
      </w:r>
      <w:r w:rsidR="00753DEE" w:rsidRPr="006C6C4F">
        <w:rPr>
          <w:lang w:val="en-GB"/>
        </w:rPr>
        <w:t xml:space="preserve">, listed </w:t>
      </w:r>
      <w:r w:rsidR="00164721">
        <w:rPr>
          <w:lang w:val="en-GB"/>
        </w:rPr>
        <w:t xml:space="preserve">for </w:t>
      </w:r>
      <w:r w:rsidR="00753DEE" w:rsidRPr="006C6C4F">
        <w:rPr>
          <w:lang w:val="en-GB"/>
        </w:rPr>
        <w:t xml:space="preserve">each procedural stage of </w:t>
      </w:r>
      <w:r w:rsidR="00164721">
        <w:rPr>
          <w:lang w:val="en-GB"/>
        </w:rPr>
        <w:t xml:space="preserve">the issuing of a </w:t>
      </w:r>
      <w:r w:rsidR="00753DEE" w:rsidRPr="006C6C4F">
        <w:rPr>
          <w:lang w:val="en-GB"/>
        </w:rPr>
        <w:t>TRP</w:t>
      </w:r>
      <w:r w:rsidRPr="006C6C4F">
        <w:rPr>
          <w:lang w:val="en-GB"/>
        </w:rPr>
        <w:t>:</w:t>
      </w:r>
    </w:p>
    <w:p w14:paraId="11596616" w14:textId="77777777" w:rsidR="00193AF5" w:rsidRPr="006C6C4F" w:rsidRDefault="00193AF5" w:rsidP="001575AD">
      <w:pPr>
        <w:pStyle w:val="MMultilevel"/>
        <w:rPr>
          <w:lang w:val="en-GB"/>
        </w:rPr>
      </w:pPr>
    </w:p>
    <w:p w14:paraId="2DAE2718" w14:textId="1DA06FA1" w:rsidR="001575AD" w:rsidRPr="006C6C4F" w:rsidRDefault="001575AD" w:rsidP="00E909B9">
      <w:pPr>
        <w:pStyle w:val="MMultilevel"/>
        <w:ind w:left="708"/>
        <w:rPr>
          <w:b/>
          <w:lang w:val="en-GB"/>
        </w:rPr>
      </w:pPr>
      <w:r w:rsidRPr="006C6C4F">
        <w:rPr>
          <w:b/>
          <w:lang w:val="en-GB"/>
        </w:rPr>
        <w:t>1.</w:t>
      </w:r>
      <w:r w:rsidRPr="006C6C4F">
        <w:rPr>
          <w:b/>
          <w:lang w:val="en-GB"/>
        </w:rPr>
        <w:tab/>
        <w:t>Lodging of an application for issue/renewal of a TRP</w:t>
      </w:r>
    </w:p>
    <w:p w14:paraId="0D1E9A0A" w14:textId="77777777" w:rsidR="001575AD" w:rsidRPr="006C6C4F" w:rsidRDefault="001575AD" w:rsidP="00E909B9">
      <w:pPr>
        <w:pStyle w:val="MMultilevel"/>
        <w:ind w:left="708"/>
        <w:rPr>
          <w:lang w:val="en-GB"/>
        </w:rPr>
      </w:pPr>
    </w:p>
    <w:p w14:paraId="6A082EB2" w14:textId="77777777" w:rsidR="001575AD" w:rsidRPr="006C6C4F" w:rsidRDefault="001575AD" w:rsidP="00351476">
      <w:pPr>
        <w:pStyle w:val="MMultilevel"/>
        <w:ind w:left="708"/>
        <w:jc w:val="left"/>
        <w:rPr>
          <w:lang w:val="en-GB"/>
        </w:rPr>
      </w:pPr>
      <w:r w:rsidRPr="006C6C4F">
        <w:rPr>
          <w:lang w:val="en-GB"/>
        </w:rPr>
        <w:t>The Migration Department (via the local migration office</w:t>
      </w:r>
      <w:r w:rsidR="0062090B" w:rsidRPr="006C6C4F">
        <w:rPr>
          <w:lang w:val="en-GB"/>
        </w:rPr>
        <w:t>s</w:t>
      </w:r>
      <w:r w:rsidRPr="006C6C4F">
        <w:rPr>
          <w:lang w:val="en-GB"/>
        </w:rPr>
        <w:t xml:space="preserve"> in </w:t>
      </w:r>
      <w:r w:rsidR="0062090B" w:rsidRPr="006C6C4F">
        <w:rPr>
          <w:lang w:val="en-GB"/>
        </w:rPr>
        <w:t>regional police</w:t>
      </w:r>
      <w:r w:rsidRPr="006C6C4F">
        <w:rPr>
          <w:lang w:val="en-GB"/>
        </w:rPr>
        <w:t xml:space="preserve"> office</w:t>
      </w:r>
      <w:r w:rsidR="0062090B" w:rsidRPr="006C6C4F">
        <w:rPr>
          <w:lang w:val="en-GB"/>
        </w:rPr>
        <w:t>s</w:t>
      </w:r>
      <w:r w:rsidRPr="006C6C4F">
        <w:rPr>
          <w:lang w:val="en-GB"/>
        </w:rPr>
        <w:t>) or the diplomatic mission or consular post of the Republic of Lithuania abroad. The appointment at the Migration Department for foreign entrepreneurs/investors, highly qualified employees and their family members can be booked online via</w:t>
      </w:r>
      <w:r w:rsidR="00061CD0" w:rsidRPr="006C6C4F">
        <w:rPr>
          <w:lang w:val="en-GB"/>
        </w:rPr>
        <w:t xml:space="preserve"> </w:t>
      </w:r>
      <w:hyperlink r:id="rId21" w:history="1">
        <w:r w:rsidR="00061CD0" w:rsidRPr="006C6C4F">
          <w:rPr>
            <w:rStyle w:val="Hyperlink"/>
            <w:lang w:val="en-GB"/>
          </w:rPr>
          <w:t>https://www.epolicija.lt/rezervacija/index.php?id=18&amp;lang=EN</w:t>
        </w:r>
      </w:hyperlink>
      <w:r w:rsidR="00061CD0" w:rsidRPr="006C6C4F">
        <w:rPr>
          <w:lang w:val="en-GB"/>
        </w:rPr>
        <w:t xml:space="preserve"> </w:t>
      </w:r>
    </w:p>
    <w:p w14:paraId="56F4644A" w14:textId="77777777" w:rsidR="001575AD" w:rsidRPr="006C6C4F" w:rsidRDefault="001575AD" w:rsidP="00E909B9">
      <w:pPr>
        <w:pStyle w:val="MMultilevel"/>
        <w:ind w:left="708"/>
        <w:rPr>
          <w:lang w:val="en-GB"/>
        </w:rPr>
      </w:pPr>
    </w:p>
    <w:p w14:paraId="78B84DDC" w14:textId="77777777" w:rsidR="001575AD" w:rsidRPr="006C6C4F" w:rsidRDefault="001575AD" w:rsidP="00E909B9">
      <w:pPr>
        <w:pStyle w:val="MMultilevel"/>
        <w:ind w:left="708"/>
        <w:rPr>
          <w:b/>
          <w:lang w:val="en-GB"/>
        </w:rPr>
      </w:pPr>
      <w:r w:rsidRPr="006C6C4F">
        <w:rPr>
          <w:b/>
          <w:lang w:val="en-GB"/>
        </w:rPr>
        <w:t>2.</w:t>
      </w:r>
      <w:r w:rsidRPr="006C6C4F">
        <w:rPr>
          <w:b/>
          <w:lang w:val="en-GB"/>
        </w:rPr>
        <w:tab/>
        <w:t xml:space="preserve">Examination of the application for issue/renewal of a TRP </w:t>
      </w:r>
    </w:p>
    <w:p w14:paraId="518FEF1A" w14:textId="77777777" w:rsidR="001575AD" w:rsidRPr="006C6C4F" w:rsidRDefault="001575AD" w:rsidP="00E909B9">
      <w:pPr>
        <w:pStyle w:val="MMultilevel"/>
        <w:ind w:left="708"/>
        <w:rPr>
          <w:lang w:val="en-GB"/>
        </w:rPr>
      </w:pPr>
    </w:p>
    <w:p w14:paraId="19D48DCB" w14:textId="77777777" w:rsidR="001575AD" w:rsidRPr="006C6C4F" w:rsidRDefault="001575AD" w:rsidP="00E909B9">
      <w:pPr>
        <w:pStyle w:val="MMultilevel"/>
        <w:ind w:left="708"/>
        <w:rPr>
          <w:lang w:val="en-GB"/>
        </w:rPr>
      </w:pPr>
      <w:r w:rsidRPr="006C6C4F">
        <w:rPr>
          <w:lang w:val="en-GB"/>
        </w:rPr>
        <w:t>The Migration Department, consulting other state bodies/inst</w:t>
      </w:r>
      <w:r w:rsidR="00440052" w:rsidRPr="006C6C4F">
        <w:rPr>
          <w:lang w:val="en-GB"/>
        </w:rPr>
        <w:t>it</w:t>
      </w:r>
      <w:r w:rsidRPr="006C6C4F">
        <w:rPr>
          <w:lang w:val="en-GB"/>
        </w:rPr>
        <w:t>utions/registers to complete the relevant checks:</w:t>
      </w:r>
      <w:r w:rsidR="00244986" w:rsidRPr="004C4CE9">
        <w:rPr>
          <w:rStyle w:val="FootnoteReference"/>
        </w:rPr>
        <w:footnoteReference w:id="124"/>
      </w:r>
    </w:p>
    <w:p w14:paraId="0A5053F4" w14:textId="0E7AF13F" w:rsidR="001575AD" w:rsidRPr="00DC1273" w:rsidRDefault="001575AD" w:rsidP="00DC1273">
      <w:pPr>
        <w:pStyle w:val="MMultilevel"/>
        <w:numPr>
          <w:ilvl w:val="2"/>
          <w:numId w:val="5"/>
        </w:numPr>
      </w:pPr>
      <w:r w:rsidRPr="00DC1273">
        <w:t>Lithuanian national second generation Schengen Information System</w:t>
      </w:r>
    </w:p>
    <w:p w14:paraId="46B17BC0" w14:textId="3897C8CC" w:rsidR="001575AD" w:rsidRPr="00DC1273" w:rsidRDefault="001575AD" w:rsidP="00DC1273">
      <w:pPr>
        <w:pStyle w:val="MMultilevel"/>
        <w:numPr>
          <w:ilvl w:val="2"/>
          <w:numId w:val="5"/>
        </w:numPr>
      </w:pPr>
      <w:r w:rsidRPr="00DC1273">
        <w:t xml:space="preserve">Register of Aliens </w:t>
      </w:r>
    </w:p>
    <w:p w14:paraId="21E552DD" w14:textId="3F8255CF" w:rsidR="001575AD" w:rsidRPr="00DC1273" w:rsidRDefault="001575AD" w:rsidP="00DC1273">
      <w:pPr>
        <w:pStyle w:val="MMultilevel"/>
        <w:numPr>
          <w:ilvl w:val="2"/>
          <w:numId w:val="5"/>
        </w:numPr>
      </w:pPr>
      <w:r w:rsidRPr="00DC1273">
        <w:t xml:space="preserve">Register of Administrative Offences </w:t>
      </w:r>
    </w:p>
    <w:p w14:paraId="75A8A127" w14:textId="1B3664FC" w:rsidR="001575AD" w:rsidRPr="00DC1273" w:rsidRDefault="001575AD" w:rsidP="00DC1273">
      <w:pPr>
        <w:pStyle w:val="MMultilevel"/>
        <w:numPr>
          <w:ilvl w:val="2"/>
          <w:numId w:val="5"/>
        </w:numPr>
      </w:pPr>
      <w:r w:rsidRPr="00DC1273">
        <w:t xml:space="preserve">Register of Suspected, Accused and Convicted Persons </w:t>
      </w:r>
    </w:p>
    <w:p w14:paraId="613B5033" w14:textId="520BF932" w:rsidR="001575AD" w:rsidRPr="00DC1273" w:rsidRDefault="001575AD" w:rsidP="00DC1273">
      <w:pPr>
        <w:pStyle w:val="MMultilevel"/>
        <w:numPr>
          <w:ilvl w:val="2"/>
          <w:numId w:val="5"/>
        </w:numPr>
      </w:pPr>
      <w:r w:rsidRPr="00DC1273">
        <w:t xml:space="preserve">Register of Application of Preventive Sanctions </w:t>
      </w:r>
    </w:p>
    <w:p w14:paraId="3B809842" w14:textId="277CEF43" w:rsidR="001575AD" w:rsidRPr="00DC1273" w:rsidRDefault="001575AD" w:rsidP="00DC1273">
      <w:pPr>
        <w:pStyle w:val="MMultilevel"/>
        <w:numPr>
          <w:ilvl w:val="2"/>
          <w:numId w:val="5"/>
        </w:numPr>
      </w:pPr>
      <w:r w:rsidRPr="00DC1273">
        <w:t xml:space="preserve">Departmental Register of Wanted Persons, Unidentified Bodies and Unknown Helpless Persons </w:t>
      </w:r>
    </w:p>
    <w:p w14:paraId="4F5DECC0" w14:textId="2BC4E082" w:rsidR="001575AD" w:rsidRPr="00DC1273" w:rsidRDefault="001575AD" w:rsidP="00DC1273">
      <w:pPr>
        <w:pStyle w:val="MMultilevel"/>
        <w:numPr>
          <w:ilvl w:val="2"/>
          <w:numId w:val="5"/>
        </w:numPr>
      </w:pPr>
      <w:r w:rsidRPr="00DC1273">
        <w:t xml:space="preserve">Database of Interpol General Secretariat </w:t>
      </w:r>
    </w:p>
    <w:p w14:paraId="6150543F" w14:textId="20E0157F" w:rsidR="001575AD" w:rsidRPr="00DC1273" w:rsidRDefault="001575AD" w:rsidP="00DC1273">
      <w:pPr>
        <w:pStyle w:val="MMultilevel"/>
        <w:numPr>
          <w:ilvl w:val="2"/>
          <w:numId w:val="5"/>
        </w:numPr>
      </w:pPr>
      <w:r w:rsidRPr="00DC1273">
        <w:t xml:space="preserve">The information system of the State Social Insurance Fund Board </w:t>
      </w:r>
    </w:p>
    <w:p w14:paraId="61BCCE33" w14:textId="39934907" w:rsidR="001575AD" w:rsidRPr="00DC1273" w:rsidRDefault="001575AD" w:rsidP="00DC1273">
      <w:pPr>
        <w:pStyle w:val="MMultilevel"/>
        <w:numPr>
          <w:ilvl w:val="2"/>
          <w:numId w:val="5"/>
        </w:numPr>
      </w:pPr>
      <w:r w:rsidRPr="00DC1273">
        <w:t>The State Tax Inspectorate</w:t>
      </w:r>
    </w:p>
    <w:p w14:paraId="233F6826" w14:textId="59303EBC" w:rsidR="001575AD" w:rsidRPr="00DC1273" w:rsidRDefault="001575AD" w:rsidP="00DC1273">
      <w:pPr>
        <w:pStyle w:val="MMultilevel"/>
        <w:numPr>
          <w:ilvl w:val="2"/>
          <w:numId w:val="5"/>
        </w:numPr>
      </w:pPr>
      <w:r w:rsidRPr="00DC1273">
        <w:t xml:space="preserve">Kaunas Territorial Customs Office </w:t>
      </w:r>
    </w:p>
    <w:p w14:paraId="528B49AD" w14:textId="61AF6D14" w:rsidR="00F27E0B" w:rsidRPr="00DC1273" w:rsidRDefault="00F27E0B" w:rsidP="00DC1273">
      <w:pPr>
        <w:pStyle w:val="MMultilevel"/>
        <w:numPr>
          <w:ilvl w:val="2"/>
          <w:numId w:val="5"/>
        </w:numPr>
      </w:pPr>
      <w:r w:rsidRPr="00DC1273">
        <w:lastRenderedPageBreak/>
        <w:t>The State Border Guard Service</w:t>
      </w:r>
    </w:p>
    <w:p w14:paraId="449663D0" w14:textId="44F6B763" w:rsidR="00F27E0B" w:rsidRPr="00DC1273" w:rsidRDefault="001575AD" w:rsidP="00DC1273">
      <w:pPr>
        <w:pStyle w:val="MMultilevel"/>
        <w:numPr>
          <w:ilvl w:val="2"/>
          <w:numId w:val="5"/>
        </w:numPr>
      </w:pPr>
      <w:r w:rsidRPr="00DC1273">
        <w:t>State Se</w:t>
      </w:r>
      <w:r w:rsidR="00057B6D" w:rsidRPr="00DC1273">
        <w:t>c</w:t>
      </w:r>
      <w:r w:rsidRPr="00DC1273">
        <w:t xml:space="preserve">urity Department </w:t>
      </w:r>
    </w:p>
    <w:p w14:paraId="588006F7" w14:textId="6622929B" w:rsidR="001575AD" w:rsidRPr="00DC1273" w:rsidRDefault="00EB0E9F" w:rsidP="00DC1273">
      <w:pPr>
        <w:pStyle w:val="MMultilevel"/>
        <w:numPr>
          <w:ilvl w:val="2"/>
          <w:numId w:val="5"/>
        </w:numPr>
      </w:pPr>
      <w:r w:rsidRPr="00DC1273">
        <w:t>Police Department</w:t>
      </w:r>
    </w:p>
    <w:p w14:paraId="42981ADB" w14:textId="77777777" w:rsidR="001575AD" w:rsidRPr="006C6C4F" w:rsidRDefault="001575AD" w:rsidP="00E909B9">
      <w:pPr>
        <w:pStyle w:val="MMultilevel"/>
        <w:ind w:left="708"/>
        <w:rPr>
          <w:lang w:val="en-GB"/>
        </w:rPr>
      </w:pPr>
    </w:p>
    <w:p w14:paraId="604B1754" w14:textId="77777777" w:rsidR="001575AD" w:rsidRPr="006C6C4F" w:rsidRDefault="001575AD" w:rsidP="00E909B9">
      <w:pPr>
        <w:pStyle w:val="MMultilevel"/>
        <w:ind w:left="708"/>
        <w:rPr>
          <w:b/>
          <w:lang w:val="en-GB"/>
        </w:rPr>
      </w:pPr>
      <w:r w:rsidRPr="006C6C4F">
        <w:rPr>
          <w:b/>
          <w:lang w:val="en-GB"/>
        </w:rPr>
        <w:t>3.</w:t>
      </w:r>
      <w:r w:rsidRPr="006C6C4F">
        <w:rPr>
          <w:b/>
          <w:lang w:val="en-GB"/>
        </w:rPr>
        <w:tab/>
        <w:t xml:space="preserve">Taking of a decision </w:t>
      </w:r>
    </w:p>
    <w:p w14:paraId="3BCACE34" w14:textId="77777777" w:rsidR="001575AD" w:rsidRPr="006C6C4F" w:rsidRDefault="001575AD" w:rsidP="00E909B9">
      <w:pPr>
        <w:pStyle w:val="MMultilevel"/>
        <w:ind w:left="708"/>
        <w:rPr>
          <w:lang w:val="en-GB"/>
        </w:rPr>
      </w:pPr>
    </w:p>
    <w:p w14:paraId="6E556ED0" w14:textId="77777777" w:rsidR="001575AD" w:rsidRPr="006C6C4F" w:rsidRDefault="001575AD" w:rsidP="00E909B9">
      <w:pPr>
        <w:pStyle w:val="MMultilevel"/>
        <w:ind w:left="708"/>
        <w:rPr>
          <w:lang w:val="en-GB"/>
        </w:rPr>
      </w:pPr>
      <w:r w:rsidRPr="006C6C4F">
        <w:rPr>
          <w:lang w:val="en-GB"/>
        </w:rPr>
        <w:t>The Migration Department</w:t>
      </w:r>
      <w:r w:rsidR="00482451" w:rsidRPr="006C6C4F">
        <w:rPr>
          <w:lang w:val="en-GB"/>
        </w:rPr>
        <w:t>.</w:t>
      </w:r>
    </w:p>
    <w:p w14:paraId="5E891E2B" w14:textId="77777777" w:rsidR="001575AD" w:rsidRPr="006C6C4F" w:rsidRDefault="001575AD" w:rsidP="00E909B9">
      <w:pPr>
        <w:pStyle w:val="MMultilevel"/>
        <w:ind w:left="708"/>
        <w:rPr>
          <w:lang w:val="en-GB"/>
        </w:rPr>
      </w:pPr>
    </w:p>
    <w:p w14:paraId="4D573428" w14:textId="77777777" w:rsidR="001575AD" w:rsidRPr="006C6C4F" w:rsidRDefault="001575AD" w:rsidP="00E909B9">
      <w:pPr>
        <w:pStyle w:val="MMultilevel"/>
        <w:ind w:left="708"/>
        <w:rPr>
          <w:b/>
          <w:lang w:val="en-GB"/>
        </w:rPr>
      </w:pPr>
      <w:r w:rsidRPr="006C6C4F">
        <w:rPr>
          <w:b/>
          <w:lang w:val="en-GB"/>
        </w:rPr>
        <w:t>4.</w:t>
      </w:r>
      <w:r w:rsidRPr="006C6C4F">
        <w:rPr>
          <w:b/>
          <w:lang w:val="en-GB"/>
        </w:rPr>
        <w:tab/>
        <w:t>Dispatch of the decision taken to the applicant</w:t>
      </w:r>
    </w:p>
    <w:p w14:paraId="2578C8E3" w14:textId="77777777" w:rsidR="001575AD" w:rsidRPr="006C6C4F" w:rsidRDefault="001575AD" w:rsidP="00E909B9">
      <w:pPr>
        <w:pStyle w:val="MMultilevel"/>
        <w:ind w:left="708"/>
        <w:rPr>
          <w:lang w:val="en-GB"/>
        </w:rPr>
      </w:pPr>
    </w:p>
    <w:p w14:paraId="25BF6497" w14:textId="77777777" w:rsidR="001575AD" w:rsidRPr="006C6C4F" w:rsidRDefault="001575AD" w:rsidP="00E909B9">
      <w:pPr>
        <w:pStyle w:val="MMultilevel"/>
        <w:ind w:left="708"/>
        <w:rPr>
          <w:lang w:val="en-GB"/>
        </w:rPr>
      </w:pPr>
      <w:r w:rsidRPr="006C6C4F">
        <w:rPr>
          <w:lang w:val="en-GB"/>
        </w:rPr>
        <w:t>The Migration Department or the diploma</w:t>
      </w:r>
      <w:r w:rsidR="00630346" w:rsidRPr="006C6C4F">
        <w:rPr>
          <w:lang w:val="en-GB"/>
        </w:rPr>
        <w:t xml:space="preserve">tic mission / </w:t>
      </w:r>
      <w:r w:rsidRPr="006C6C4F">
        <w:rPr>
          <w:lang w:val="en-GB"/>
        </w:rPr>
        <w:t>consular post of the Republic of Lithuania abroad.</w:t>
      </w:r>
    </w:p>
    <w:p w14:paraId="3A82AA34" w14:textId="77777777" w:rsidR="001575AD" w:rsidRPr="006C6C4F" w:rsidRDefault="001575AD" w:rsidP="00E909B9">
      <w:pPr>
        <w:pStyle w:val="MMultilevel"/>
        <w:ind w:left="708"/>
        <w:rPr>
          <w:lang w:val="en-GB"/>
        </w:rPr>
      </w:pPr>
    </w:p>
    <w:p w14:paraId="41C87351" w14:textId="77777777" w:rsidR="001575AD" w:rsidRPr="006C6C4F" w:rsidRDefault="001575AD" w:rsidP="00E909B9">
      <w:pPr>
        <w:pStyle w:val="MMultilevel"/>
        <w:ind w:left="708"/>
        <w:rPr>
          <w:b/>
          <w:lang w:val="en-GB"/>
        </w:rPr>
      </w:pPr>
      <w:r w:rsidRPr="006C6C4F">
        <w:rPr>
          <w:b/>
          <w:lang w:val="en-GB"/>
        </w:rPr>
        <w:t>5.</w:t>
      </w:r>
      <w:r w:rsidRPr="006C6C4F">
        <w:rPr>
          <w:b/>
          <w:lang w:val="en-GB"/>
        </w:rPr>
        <w:tab/>
        <w:t xml:space="preserve">Processing of a TRP </w:t>
      </w:r>
    </w:p>
    <w:p w14:paraId="41FCCFE1" w14:textId="77777777" w:rsidR="001575AD" w:rsidRPr="006C6C4F" w:rsidRDefault="001575AD" w:rsidP="00E909B9">
      <w:pPr>
        <w:pStyle w:val="MMultilevel"/>
        <w:ind w:left="708"/>
        <w:rPr>
          <w:lang w:val="en-GB"/>
        </w:rPr>
      </w:pPr>
    </w:p>
    <w:p w14:paraId="1ABFC255" w14:textId="77777777" w:rsidR="001575AD" w:rsidRPr="006C6C4F" w:rsidRDefault="001575AD" w:rsidP="00E909B9">
      <w:pPr>
        <w:pStyle w:val="MMultilevel"/>
        <w:ind w:left="708"/>
        <w:rPr>
          <w:lang w:val="en-GB"/>
        </w:rPr>
      </w:pPr>
      <w:r w:rsidRPr="006C6C4F">
        <w:rPr>
          <w:lang w:val="en-GB"/>
        </w:rPr>
        <w:t>Migration offices o</w:t>
      </w:r>
      <w:r w:rsidR="00482451" w:rsidRPr="006C6C4F">
        <w:rPr>
          <w:lang w:val="en-GB"/>
        </w:rPr>
        <w:t>f the declared foreign investor</w:t>
      </w:r>
      <w:r w:rsidRPr="006C6C4F">
        <w:rPr>
          <w:lang w:val="en-GB"/>
        </w:rPr>
        <w:t>s</w:t>
      </w:r>
      <w:r w:rsidR="00482451" w:rsidRPr="006C6C4F">
        <w:rPr>
          <w:lang w:val="en-GB"/>
        </w:rPr>
        <w:t>’</w:t>
      </w:r>
      <w:r w:rsidRPr="006C6C4F">
        <w:rPr>
          <w:lang w:val="en-GB"/>
        </w:rPr>
        <w:t xml:space="preserve"> residence in Lithuania.</w:t>
      </w:r>
    </w:p>
    <w:p w14:paraId="498EF751" w14:textId="77777777" w:rsidR="001575AD" w:rsidRPr="006C6C4F" w:rsidRDefault="001575AD" w:rsidP="00E909B9">
      <w:pPr>
        <w:pStyle w:val="MMultilevel"/>
        <w:ind w:left="708"/>
        <w:rPr>
          <w:lang w:val="en-GB"/>
        </w:rPr>
      </w:pPr>
      <w:r w:rsidRPr="006C6C4F">
        <w:rPr>
          <w:lang w:val="en-GB"/>
        </w:rPr>
        <w:t>The Identity Documents Personalisation Centre at the Ministry of the Interior.</w:t>
      </w:r>
    </w:p>
    <w:p w14:paraId="0CB2C05C" w14:textId="77777777" w:rsidR="001575AD" w:rsidRPr="006C6C4F" w:rsidRDefault="001575AD" w:rsidP="00E909B9">
      <w:pPr>
        <w:pStyle w:val="MMultilevel"/>
        <w:ind w:left="708"/>
        <w:rPr>
          <w:lang w:val="en-GB"/>
        </w:rPr>
      </w:pPr>
    </w:p>
    <w:p w14:paraId="408A4C68" w14:textId="77777777" w:rsidR="001575AD" w:rsidRPr="006C6C4F" w:rsidRDefault="001575AD" w:rsidP="00E909B9">
      <w:pPr>
        <w:pStyle w:val="MMultilevel"/>
        <w:ind w:left="708"/>
        <w:rPr>
          <w:b/>
          <w:lang w:val="en-GB"/>
        </w:rPr>
      </w:pPr>
      <w:r w:rsidRPr="006C6C4F">
        <w:rPr>
          <w:b/>
          <w:lang w:val="en-GB"/>
        </w:rPr>
        <w:t>6.</w:t>
      </w:r>
      <w:r w:rsidRPr="006C6C4F">
        <w:rPr>
          <w:b/>
          <w:lang w:val="en-GB"/>
        </w:rPr>
        <w:tab/>
      </w:r>
      <w:r w:rsidR="009D1203" w:rsidRPr="006C6C4F">
        <w:rPr>
          <w:b/>
          <w:lang w:val="en-GB"/>
        </w:rPr>
        <w:t>TRP c</w:t>
      </w:r>
      <w:r w:rsidRPr="006C6C4F">
        <w:rPr>
          <w:b/>
          <w:lang w:val="en-GB"/>
        </w:rPr>
        <w:t>ompliance monitoring</w:t>
      </w:r>
      <w:r w:rsidR="009D1203" w:rsidRPr="006C6C4F">
        <w:rPr>
          <w:b/>
          <w:lang w:val="en-GB"/>
        </w:rPr>
        <w:t>/checks</w:t>
      </w:r>
    </w:p>
    <w:p w14:paraId="14A21A76" w14:textId="77777777" w:rsidR="001575AD" w:rsidRPr="006C6C4F" w:rsidRDefault="001575AD" w:rsidP="00E909B9">
      <w:pPr>
        <w:pStyle w:val="MMultilevel"/>
        <w:ind w:left="708"/>
        <w:rPr>
          <w:lang w:val="en-GB"/>
        </w:rPr>
      </w:pPr>
    </w:p>
    <w:p w14:paraId="29DDCAD4" w14:textId="6FCFAC5A" w:rsidR="00AE311F" w:rsidRDefault="00AE311F" w:rsidP="00E909B9">
      <w:pPr>
        <w:pStyle w:val="MMultilevel"/>
        <w:ind w:left="708"/>
        <w:rPr>
          <w:lang w:val="en-GB"/>
        </w:rPr>
      </w:pPr>
      <w:r w:rsidRPr="006C6C4F">
        <w:rPr>
          <w:lang w:val="en-GB"/>
        </w:rPr>
        <w:t xml:space="preserve">The </w:t>
      </w:r>
      <w:r w:rsidR="00BB7CFB" w:rsidRPr="006C6C4F">
        <w:rPr>
          <w:lang w:val="en-GB"/>
        </w:rPr>
        <w:t xml:space="preserve">departments and agencies at the </w:t>
      </w:r>
      <w:r w:rsidRPr="006C6C4F">
        <w:rPr>
          <w:lang w:val="en-GB"/>
        </w:rPr>
        <w:t>Ministry of the Interior:</w:t>
      </w:r>
    </w:p>
    <w:p w14:paraId="0D13FBE6" w14:textId="77777777" w:rsidR="00DC1273" w:rsidRPr="006C6C4F" w:rsidRDefault="00DC1273" w:rsidP="00E909B9">
      <w:pPr>
        <w:pStyle w:val="MMultilevel"/>
        <w:ind w:left="708"/>
        <w:rPr>
          <w:lang w:val="en-GB"/>
        </w:rPr>
      </w:pPr>
    </w:p>
    <w:p w14:paraId="3CBAF611" w14:textId="77777777" w:rsidR="000E4326" w:rsidRPr="00DC1273" w:rsidRDefault="00AE311F" w:rsidP="00DC1273">
      <w:pPr>
        <w:pStyle w:val="MMultilevel"/>
        <w:numPr>
          <w:ilvl w:val="2"/>
          <w:numId w:val="5"/>
        </w:numPr>
      </w:pPr>
      <w:r w:rsidRPr="00DC1273">
        <w:t>The Migration Department</w:t>
      </w:r>
    </w:p>
    <w:p w14:paraId="6B7EB5DA" w14:textId="77777777" w:rsidR="001575AD" w:rsidRPr="00DC1273" w:rsidRDefault="002365D6" w:rsidP="00DC1273">
      <w:pPr>
        <w:pStyle w:val="MMultilevel"/>
        <w:numPr>
          <w:ilvl w:val="2"/>
          <w:numId w:val="5"/>
        </w:numPr>
      </w:pPr>
      <w:r w:rsidRPr="00DC1273">
        <w:t>Migration offices in</w:t>
      </w:r>
      <w:r w:rsidR="001575AD" w:rsidRPr="00DC1273">
        <w:t xml:space="preserve"> regional police offices.</w:t>
      </w:r>
    </w:p>
    <w:p w14:paraId="77135791" w14:textId="77777777" w:rsidR="00607612" w:rsidRPr="00DC1273" w:rsidRDefault="00607612" w:rsidP="00DC1273">
      <w:pPr>
        <w:pStyle w:val="MMultilevel"/>
        <w:numPr>
          <w:ilvl w:val="2"/>
          <w:numId w:val="5"/>
        </w:numPr>
      </w:pPr>
      <w:r w:rsidRPr="00DC1273">
        <w:t>Police Department</w:t>
      </w:r>
    </w:p>
    <w:p w14:paraId="3C133AC1" w14:textId="77777777" w:rsidR="00AE311F" w:rsidRPr="00DC1273" w:rsidRDefault="00AE311F" w:rsidP="00DC1273">
      <w:pPr>
        <w:pStyle w:val="MMultilevel"/>
        <w:numPr>
          <w:ilvl w:val="2"/>
          <w:numId w:val="5"/>
        </w:numPr>
      </w:pPr>
      <w:r w:rsidRPr="00DC1273">
        <w:t>The State Border Guard Service</w:t>
      </w:r>
    </w:p>
    <w:p w14:paraId="48C1D94D" w14:textId="77777777" w:rsidR="00AE311F" w:rsidRPr="00DC1273" w:rsidRDefault="00AE311F" w:rsidP="00DC1273">
      <w:pPr>
        <w:pStyle w:val="MMultilevel"/>
        <w:numPr>
          <w:ilvl w:val="2"/>
          <w:numId w:val="5"/>
        </w:numPr>
      </w:pPr>
      <w:r w:rsidRPr="00DC1273">
        <w:t xml:space="preserve">State Security Department </w:t>
      </w:r>
    </w:p>
    <w:p w14:paraId="4FBA3AFC" w14:textId="77777777" w:rsidR="00AE311F" w:rsidRPr="006C6C4F" w:rsidRDefault="00AE311F" w:rsidP="00E909B9">
      <w:pPr>
        <w:pStyle w:val="MMultilevel"/>
        <w:ind w:left="708"/>
        <w:rPr>
          <w:lang w:val="en-GB"/>
        </w:rPr>
      </w:pPr>
    </w:p>
    <w:bookmarkEnd w:id="32"/>
    <w:p w14:paraId="3675B17C" w14:textId="77777777" w:rsidR="000C6D5A" w:rsidRPr="006C6C4F" w:rsidRDefault="000C6D5A" w:rsidP="003B3938">
      <w:pPr>
        <w:pStyle w:val="MBT"/>
        <w:rPr>
          <w:lang w:val="en-GB"/>
        </w:rPr>
      </w:pPr>
    </w:p>
    <w:p w14:paraId="5C26B704" w14:textId="77777777" w:rsidR="00B311A7" w:rsidRPr="006C6C4F" w:rsidRDefault="00B311A7" w:rsidP="0001799A">
      <w:pPr>
        <w:pStyle w:val="MH2"/>
        <w:outlineLvl w:val="9"/>
      </w:pPr>
      <w:r w:rsidRPr="006C6C4F">
        <w:t>Monitoring of the proceedings and the authorities involved</w:t>
      </w:r>
    </w:p>
    <w:p w14:paraId="5447ED8B" w14:textId="77777777" w:rsidR="008A008A" w:rsidRPr="006C6C4F" w:rsidRDefault="00BB7D31" w:rsidP="0075744F">
      <w:pPr>
        <w:pStyle w:val="MMultilevel"/>
        <w:rPr>
          <w:lang w:val="en-GB"/>
        </w:rPr>
      </w:pPr>
      <w:r w:rsidRPr="006C6C4F">
        <w:rPr>
          <w:lang w:val="en-GB"/>
        </w:rPr>
        <w:t>T</w:t>
      </w:r>
      <w:r w:rsidR="00B311A7" w:rsidRPr="006C6C4F">
        <w:rPr>
          <w:lang w:val="en-GB"/>
        </w:rPr>
        <w:t xml:space="preserve">here is </w:t>
      </w:r>
      <w:r w:rsidRPr="006C6C4F">
        <w:rPr>
          <w:lang w:val="en-GB"/>
        </w:rPr>
        <w:t>n</w:t>
      </w:r>
      <w:r w:rsidR="0075744F" w:rsidRPr="006C6C4F">
        <w:rPr>
          <w:lang w:val="en-GB"/>
        </w:rPr>
        <w:t>either</w:t>
      </w:r>
      <w:r w:rsidR="00164721">
        <w:rPr>
          <w:lang w:val="en-GB"/>
        </w:rPr>
        <w:t xml:space="preserve"> a</w:t>
      </w:r>
      <w:r w:rsidR="0075744F" w:rsidRPr="006C6C4F">
        <w:rPr>
          <w:lang w:val="en-GB"/>
        </w:rPr>
        <w:t xml:space="preserve"> cap for the scheme, nor regular scrutiny from </w:t>
      </w:r>
      <w:r w:rsidR="00B311A7" w:rsidRPr="006C6C4F">
        <w:rPr>
          <w:lang w:val="en-GB"/>
        </w:rPr>
        <w:t>parliamentary or other committees/bodies on the number of successful applications.</w:t>
      </w:r>
      <w:r w:rsidR="00F168B0" w:rsidRPr="006C6C4F">
        <w:rPr>
          <w:lang w:val="en-GB"/>
        </w:rPr>
        <w:t xml:space="preserve"> </w:t>
      </w:r>
    </w:p>
    <w:p w14:paraId="6670C636" w14:textId="77777777" w:rsidR="008A008A" w:rsidRPr="006C6C4F" w:rsidRDefault="008A008A" w:rsidP="0075744F">
      <w:pPr>
        <w:pStyle w:val="MMultilevel"/>
        <w:rPr>
          <w:lang w:val="en-GB"/>
        </w:rPr>
      </w:pPr>
    </w:p>
    <w:p w14:paraId="0F70E1DB" w14:textId="0A7BF518" w:rsidR="0075744F" w:rsidRPr="004C4CE9" w:rsidRDefault="008A008A" w:rsidP="0075744F">
      <w:pPr>
        <w:pStyle w:val="MMultilevel"/>
      </w:pPr>
      <w:r w:rsidRPr="006C6C4F">
        <w:rPr>
          <w:lang w:val="en-GB"/>
        </w:rPr>
        <w:t xml:space="preserve">The Ministry of the Interior provides </w:t>
      </w:r>
      <w:r w:rsidR="00322C92">
        <w:rPr>
          <w:lang w:val="en-GB"/>
        </w:rPr>
        <w:t xml:space="preserve">general </w:t>
      </w:r>
      <w:r w:rsidRPr="006C6C4F">
        <w:rPr>
          <w:lang w:val="en-GB"/>
        </w:rPr>
        <w:t>national statistics to Eurostat</w:t>
      </w:r>
      <w:r w:rsidR="00C87B35">
        <w:rPr>
          <w:lang w:val="en-GB"/>
        </w:rPr>
        <w:t xml:space="preserve"> on residence permits, considering foreign investors as part </w:t>
      </w:r>
      <w:r w:rsidR="00C87B35" w:rsidRPr="00C87B35">
        <w:rPr>
          <w:lang w:val="en-GB"/>
        </w:rPr>
        <w:t xml:space="preserve"> of the broader pool of persons who engage in ‘lawful activities’</w:t>
      </w:r>
      <w:r w:rsidRPr="006C6C4F">
        <w:rPr>
          <w:lang w:val="en-GB"/>
        </w:rPr>
        <w:t>.</w:t>
      </w:r>
      <w:r w:rsidRPr="004C4CE9">
        <w:rPr>
          <w:rStyle w:val="FootnoteReference"/>
        </w:rPr>
        <w:footnoteReference w:id="125"/>
      </w:r>
    </w:p>
    <w:p w14:paraId="78955909" w14:textId="77777777" w:rsidR="0075744F" w:rsidRPr="006C6C4F" w:rsidRDefault="0075744F" w:rsidP="0075744F">
      <w:pPr>
        <w:pStyle w:val="MMultilevel"/>
        <w:rPr>
          <w:lang w:val="en-GB"/>
        </w:rPr>
      </w:pPr>
    </w:p>
    <w:p w14:paraId="14859D3E" w14:textId="77777777" w:rsidR="000D1E45" w:rsidRPr="006C6C4F" w:rsidRDefault="003346E2" w:rsidP="00601C42">
      <w:pPr>
        <w:pStyle w:val="MMultilevel"/>
        <w:rPr>
          <w:szCs w:val="24"/>
          <w:lang w:val="en-GB"/>
        </w:rPr>
      </w:pPr>
      <w:r w:rsidRPr="006C6C4F">
        <w:rPr>
          <w:szCs w:val="24"/>
          <w:lang w:val="en-GB"/>
        </w:rPr>
        <w:t>The Migration Department Regulations state</w:t>
      </w:r>
      <w:r w:rsidRPr="004C4CE9">
        <w:rPr>
          <w:rStyle w:val="FootnoteReference"/>
        </w:rPr>
        <w:footnoteReference w:id="126"/>
      </w:r>
      <w:r w:rsidRPr="006C6C4F">
        <w:rPr>
          <w:szCs w:val="24"/>
          <w:lang w:val="en-GB"/>
        </w:rPr>
        <w:t xml:space="preserve"> that t</w:t>
      </w:r>
      <w:r w:rsidR="00601C42" w:rsidRPr="006C6C4F">
        <w:rPr>
          <w:lang w:val="en-GB"/>
        </w:rPr>
        <w:t>he</w:t>
      </w:r>
      <w:r w:rsidR="00D41641" w:rsidRPr="006C6C4F">
        <w:rPr>
          <w:lang w:val="en-GB"/>
        </w:rPr>
        <w:t xml:space="preserve"> public announcements by</w:t>
      </w:r>
      <w:r w:rsidR="00601C42" w:rsidRPr="006C6C4F">
        <w:rPr>
          <w:lang w:val="en-GB"/>
        </w:rPr>
        <w:t xml:space="preserve"> the Migration Department are published on its website </w:t>
      </w:r>
      <w:r w:rsidR="000D1E45" w:rsidRPr="006C6C4F">
        <w:rPr>
          <w:szCs w:val="24"/>
          <w:lang w:val="en-GB"/>
        </w:rPr>
        <w:t>(</w:t>
      </w:r>
      <w:hyperlink r:id="rId22" w:history="1">
        <w:r w:rsidR="00601C42" w:rsidRPr="006C6C4F">
          <w:rPr>
            <w:rStyle w:val="Hyperlink"/>
            <w:color w:val="auto"/>
            <w:szCs w:val="24"/>
            <w:lang w:val="en-GB"/>
          </w:rPr>
          <w:t>www.migracija.lt</w:t>
        </w:r>
      </w:hyperlink>
      <w:r w:rsidR="000D1E45" w:rsidRPr="006C6C4F">
        <w:rPr>
          <w:szCs w:val="24"/>
          <w:lang w:val="en-GB"/>
        </w:rPr>
        <w:t>)</w:t>
      </w:r>
      <w:r w:rsidR="00D41641" w:rsidRPr="006C6C4F">
        <w:rPr>
          <w:szCs w:val="24"/>
          <w:lang w:val="en-GB"/>
        </w:rPr>
        <w:t xml:space="preserve"> </w:t>
      </w:r>
      <w:r w:rsidR="00601C42" w:rsidRPr="006C6C4F">
        <w:rPr>
          <w:szCs w:val="24"/>
          <w:lang w:val="en-GB"/>
        </w:rPr>
        <w:t>and</w:t>
      </w:r>
      <w:r w:rsidR="00D41641" w:rsidRPr="006C6C4F">
        <w:rPr>
          <w:szCs w:val="24"/>
          <w:lang w:val="en-GB"/>
        </w:rPr>
        <w:t>/or</w:t>
      </w:r>
      <w:r w:rsidR="00601C42" w:rsidRPr="006C6C4F">
        <w:rPr>
          <w:szCs w:val="24"/>
          <w:lang w:val="en-GB"/>
        </w:rPr>
        <w:t xml:space="preserve"> </w:t>
      </w:r>
      <w:r w:rsidR="009174D8" w:rsidRPr="006C6C4F">
        <w:rPr>
          <w:szCs w:val="24"/>
          <w:lang w:val="en-GB"/>
        </w:rPr>
        <w:t>via</w:t>
      </w:r>
      <w:r w:rsidR="00601C42" w:rsidRPr="006C6C4F">
        <w:rPr>
          <w:szCs w:val="24"/>
          <w:lang w:val="en-GB"/>
        </w:rPr>
        <w:t xml:space="preserve"> other media </w:t>
      </w:r>
      <w:r w:rsidR="0068189D" w:rsidRPr="006C6C4F">
        <w:rPr>
          <w:szCs w:val="24"/>
          <w:lang w:val="en-GB"/>
        </w:rPr>
        <w:t>outlets</w:t>
      </w:r>
      <w:r w:rsidR="00601C42" w:rsidRPr="006C6C4F">
        <w:rPr>
          <w:szCs w:val="24"/>
          <w:lang w:val="en-GB"/>
        </w:rPr>
        <w:t>. Where specifie</w:t>
      </w:r>
      <w:r w:rsidRPr="006C6C4F">
        <w:rPr>
          <w:szCs w:val="24"/>
          <w:lang w:val="en-GB"/>
        </w:rPr>
        <w:t>d</w:t>
      </w:r>
      <w:r w:rsidR="00601C42" w:rsidRPr="006C6C4F">
        <w:rPr>
          <w:szCs w:val="24"/>
          <w:lang w:val="en-GB"/>
        </w:rPr>
        <w:t xml:space="preserve"> by legislation, such information is published in the annex of</w:t>
      </w:r>
      <w:r w:rsidR="000D1E45" w:rsidRPr="006C6C4F">
        <w:rPr>
          <w:szCs w:val="24"/>
          <w:lang w:val="en-GB"/>
        </w:rPr>
        <w:t xml:space="preserve"> </w:t>
      </w:r>
      <w:r w:rsidR="00601C42" w:rsidRPr="006C6C4F">
        <w:rPr>
          <w:szCs w:val="24"/>
          <w:lang w:val="en-GB"/>
        </w:rPr>
        <w:t>‘Valstybės žinios’ called ‘Informational Announcements’.</w:t>
      </w:r>
    </w:p>
    <w:p w14:paraId="64EE0772" w14:textId="77777777" w:rsidR="0068189D" w:rsidRPr="006C6C4F" w:rsidRDefault="0068189D" w:rsidP="00601C42">
      <w:pPr>
        <w:pStyle w:val="MMultilevel"/>
        <w:rPr>
          <w:szCs w:val="24"/>
          <w:lang w:val="en-GB"/>
        </w:rPr>
      </w:pPr>
    </w:p>
    <w:p w14:paraId="1AA09BE6" w14:textId="77777777" w:rsidR="00795E1F" w:rsidRPr="006C6C4F" w:rsidRDefault="0068189D" w:rsidP="00351583">
      <w:pPr>
        <w:pStyle w:val="MMultilevel"/>
        <w:rPr>
          <w:lang w:val="en-GB"/>
        </w:rPr>
      </w:pPr>
      <w:r w:rsidRPr="006C6C4F">
        <w:rPr>
          <w:szCs w:val="24"/>
          <w:lang w:val="en-GB"/>
        </w:rPr>
        <w:t>The Migration Department Regulations also state</w:t>
      </w:r>
      <w:r w:rsidR="00BA2863" w:rsidRPr="004C4CE9">
        <w:rPr>
          <w:rStyle w:val="FootnoteReference"/>
        </w:rPr>
        <w:footnoteReference w:id="127"/>
      </w:r>
      <w:r w:rsidRPr="006C6C4F">
        <w:rPr>
          <w:szCs w:val="24"/>
          <w:lang w:val="en-GB"/>
        </w:rPr>
        <w:t xml:space="preserve"> that </w:t>
      </w:r>
      <w:r w:rsidR="00BA2863" w:rsidRPr="006C6C4F">
        <w:rPr>
          <w:szCs w:val="24"/>
          <w:lang w:val="en-GB"/>
        </w:rPr>
        <w:t>there can be a state audit (as required) by the National Audit Office (NAO) of Lithuania. I</w:t>
      </w:r>
      <w:r w:rsidR="004A26C3" w:rsidRPr="006C6C4F">
        <w:rPr>
          <w:lang w:val="en-GB"/>
        </w:rPr>
        <w:t xml:space="preserve">n 2015, </w:t>
      </w:r>
      <w:r w:rsidR="00BA2863" w:rsidRPr="006C6C4F">
        <w:rPr>
          <w:lang w:val="en-GB"/>
        </w:rPr>
        <w:t>the NAO carried out an audit by way of</w:t>
      </w:r>
      <w:r w:rsidR="00F168B0" w:rsidRPr="006C6C4F">
        <w:rPr>
          <w:lang w:val="en-GB"/>
        </w:rPr>
        <w:t xml:space="preserve"> assessment of the </w:t>
      </w:r>
      <w:r w:rsidR="0075744F" w:rsidRPr="006C6C4F">
        <w:rPr>
          <w:lang w:val="en-GB"/>
        </w:rPr>
        <w:t>administration of immigration processes</w:t>
      </w:r>
      <w:r w:rsidR="000370A6" w:rsidRPr="006C6C4F">
        <w:rPr>
          <w:lang w:val="en-GB"/>
        </w:rPr>
        <w:t>. Its preliminary report</w:t>
      </w:r>
      <w:r w:rsidR="000370A6" w:rsidRPr="009D75E1">
        <w:rPr>
          <w:rStyle w:val="FootnoteReference"/>
        </w:rPr>
        <w:footnoteReference w:id="128"/>
      </w:r>
      <w:r w:rsidR="000370A6" w:rsidRPr="006C6C4F">
        <w:rPr>
          <w:lang w:val="en-GB"/>
        </w:rPr>
        <w:t xml:space="preserve"> criticised the </w:t>
      </w:r>
      <w:r w:rsidR="000370A6" w:rsidRPr="006C6C4F">
        <w:rPr>
          <w:lang w:val="en-GB"/>
        </w:rPr>
        <w:lastRenderedPageBreak/>
        <w:t xml:space="preserve">absence of a coordinated approach to Lithuania’s immigration policy, noted the poor running and data quality in the Register of Aliens, the overlapping functions of some of the migration institutions that assess TRP claims and the extensive bureaucracy that is burdensome on the </w:t>
      </w:r>
      <w:r w:rsidR="00612C5A" w:rsidRPr="006C6C4F">
        <w:rPr>
          <w:lang w:val="en-GB"/>
        </w:rPr>
        <w:t>TRP applicants</w:t>
      </w:r>
      <w:r w:rsidR="000370A6" w:rsidRPr="006C6C4F">
        <w:rPr>
          <w:lang w:val="en-GB"/>
        </w:rPr>
        <w:t>.</w:t>
      </w:r>
      <w:r w:rsidR="000370A6" w:rsidRPr="009D75E1">
        <w:rPr>
          <w:rStyle w:val="FootnoteReference"/>
        </w:rPr>
        <w:footnoteReference w:id="129"/>
      </w:r>
    </w:p>
    <w:p w14:paraId="1E898738" w14:textId="77777777" w:rsidR="003B476B" w:rsidRPr="006C6C4F" w:rsidRDefault="003B476B" w:rsidP="00204BA5">
      <w:pPr>
        <w:pStyle w:val="MBT"/>
        <w:rPr>
          <w:lang w:val="en-GB"/>
        </w:rPr>
      </w:pPr>
    </w:p>
    <w:p w14:paraId="1D153FD2" w14:textId="77777777" w:rsidR="009B10B9" w:rsidRPr="006C6C4F" w:rsidRDefault="009B10B9" w:rsidP="00204BA5">
      <w:pPr>
        <w:pStyle w:val="MBT"/>
        <w:rPr>
          <w:lang w:val="en-GB"/>
        </w:rPr>
      </w:pPr>
    </w:p>
    <w:p w14:paraId="533E11E9" w14:textId="77777777" w:rsidR="00B311A7" w:rsidRPr="006C6C4F" w:rsidRDefault="00B311A7" w:rsidP="0001799A">
      <w:pPr>
        <w:pStyle w:val="MH2"/>
        <w:outlineLvl w:val="9"/>
      </w:pPr>
      <w:bookmarkStart w:id="34" w:name="_Hlk496121550"/>
      <w:r w:rsidRPr="006C6C4F">
        <w:t>Information on applications</w:t>
      </w:r>
    </w:p>
    <w:bookmarkEnd w:id="34"/>
    <w:p w14:paraId="0F420172" w14:textId="36E1C985" w:rsidR="006328C3" w:rsidRPr="006C6C4F" w:rsidRDefault="008276E1" w:rsidP="006328C3">
      <w:pPr>
        <w:pStyle w:val="MBT"/>
        <w:rPr>
          <w:bCs w:val="0"/>
          <w:lang w:val="en-GB"/>
        </w:rPr>
      </w:pPr>
      <w:r w:rsidRPr="006C6C4F">
        <w:rPr>
          <w:bCs w:val="0"/>
          <w:lang w:val="en-GB"/>
        </w:rPr>
        <w:t>There is no legal</w:t>
      </w:r>
      <w:r w:rsidR="00B311A7" w:rsidRPr="006C6C4F">
        <w:rPr>
          <w:bCs w:val="0"/>
          <w:lang w:val="en-GB"/>
        </w:rPr>
        <w:t xml:space="preserve"> obligation to disclose information about successful applicants</w:t>
      </w:r>
      <w:r w:rsidRPr="006C6C4F">
        <w:rPr>
          <w:bCs w:val="0"/>
          <w:lang w:val="en-GB"/>
        </w:rPr>
        <w:t xml:space="preserve">, but the Migration Department collects such </w:t>
      </w:r>
      <w:r w:rsidR="00AB4000" w:rsidRPr="006C6C4F">
        <w:rPr>
          <w:bCs w:val="0"/>
          <w:lang w:val="en-GB"/>
        </w:rPr>
        <w:t xml:space="preserve">statistical </w:t>
      </w:r>
      <w:r w:rsidRPr="006C6C4F">
        <w:rPr>
          <w:bCs w:val="0"/>
          <w:lang w:val="en-GB"/>
        </w:rPr>
        <w:t xml:space="preserve">information </w:t>
      </w:r>
      <w:r w:rsidR="00164721">
        <w:rPr>
          <w:bCs w:val="0"/>
          <w:lang w:val="en-GB"/>
        </w:rPr>
        <w:t>which is</w:t>
      </w:r>
      <w:r w:rsidR="00164721" w:rsidRPr="006C6C4F">
        <w:rPr>
          <w:bCs w:val="0"/>
          <w:lang w:val="en-GB"/>
        </w:rPr>
        <w:t xml:space="preserve"> </w:t>
      </w:r>
      <w:r w:rsidRPr="006C6C4F">
        <w:rPr>
          <w:bCs w:val="0"/>
          <w:lang w:val="en-GB"/>
        </w:rPr>
        <w:t>publishe</w:t>
      </w:r>
      <w:r w:rsidR="00164721">
        <w:rPr>
          <w:bCs w:val="0"/>
          <w:lang w:val="en-GB"/>
        </w:rPr>
        <w:t>d</w:t>
      </w:r>
      <w:r w:rsidRPr="006C6C4F">
        <w:rPr>
          <w:bCs w:val="0"/>
          <w:lang w:val="en-GB"/>
        </w:rPr>
        <w:t xml:space="preserve"> in its </w:t>
      </w:r>
      <w:r w:rsidR="00FE53CB" w:rsidRPr="006C6C4F">
        <w:rPr>
          <w:bCs w:val="0"/>
          <w:lang w:val="en-GB"/>
        </w:rPr>
        <w:t xml:space="preserve">annual </w:t>
      </w:r>
      <w:r w:rsidRPr="006C6C4F">
        <w:rPr>
          <w:bCs w:val="0"/>
          <w:lang w:val="en-GB"/>
        </w:rPr>
        <w:t>Migration Yearbook</w:t>
      </w:r>
      <w:r w:rsidR="00AB4000" w:rsidRPr="006C6C4F">
        <w:rPr>
          <w:bCs w:val="0"/>
          <w:lang w:val="en-GB"/>
        </w:rPr>
        <w:t>s</w:t>
      </w:r>
      <w:r w:rsidRPr="006C6C4F">
        <w:rPr>
          <w:bCs w:val="0"/>
          <w:lang w:val="en-GB"/>
        </w:rPr>
        <w:t>.</w:t>
      </w:r>
      <w:r w:rsidR="00B81F1B" w:rsidRPr="006C6C4F">
        <w:rPr>
          <w:bCs w:val="0"/>
          <w:lang w:val="en-GB"/>
        </w:rPr>
        <w:t xml:space="preserve"> </w:t>
      </w:r>
      <w:r w:rsidR="006328C3" w:rsidRPr="006C6C4F">
        <w:rPr>
          <w:bCs w:val="0"/>
          <w:lang w:val="en-GB"/>
        </w:rPr>
        <w:t xml:space="preserve">The Yearbooks are prepared by the Migration Department, in collaboration with a number of other institutions: </w:t>
      </w:r>
      <w:r w:rsidR="00721BD7" w:rsidRPr="006C6C4F">
        <w:rPr>
          <w:bCs w:val="0"/>
          <w:lang w:val="en-GB"/>
        </w:rPr>
        <w:t>the President of the Republic of Lithuania, the Consular Department of the Ministry of Foreign Affairs, the Ministry of Social Security and Labour, the Lithuanian Department of Statistics (Statistics Lithuania),</w:t>
      </w:r>
      <w:r w:rsidR="00FE53CB" w:rsidRPr="006C6C4F">
        <w:rPr>
          <w:bCs w:val="0"/>
          <w:lang w:val="en-GB"/>
        </w:rPr>
        <w:t xml:space="preserve"> and the</w:t>
      </w:r>
      <w:r w:rsidR="00721BD7" w:rsidRPr="006C6C4F">
        <w:rPr>
          <w:bCs w:val="0"/>
          <w:lang w:val="en-GB"/>
        </w:rPr>
        <w:t xml:space="preserve"> institutions under the Ministry of the Interior</w:t>
      </w:r>
      <w:r w:rsidR="00FE53CB" w:rsidRPr="006C6C4F">
        <w:rPr>
          <w:bCs w:val="0"/>
          <w:lang w:val="en-GB"/>
        </w:rPr>
        <w:t xml:space="preserve">: </w:t>
      </w:r>
      <w:r w:rsidR="00721BD7" w:rsidRPr="006C6C4F">
        <w:rPr>
          <w:bCs w:val="0"/>
          <w:lang w:val="en-GB"/>
        </w:rPr>
        <w:t xml:space="preserve">the State Border Guard Service, the Police Department and migration </w:t>
      </w:r>
      <w:r w:rsidR="00C94E28" w:rsidRPr="006C6C4F">
        <w:rPr>
          <w:bCs w:val="0"/>
          <w:lang w:val="en-GB"/>
        </w:rPr>
        <w:t>offices</w:t>
      </w:r>
      <w:r w:rsidR="00721BD7" w:rsidRPr="006C6C4F">
        <w:rPr>
          <w:bCs w:val="0"/>
          <w:lang w:val="en-GB"/>
        </w:rPr>
        <w:t xml:space="preserve"> of county police headquarters, the Personalisation of Identity Documents Centre</w:t>
      </w:r>
      <w:r w:rsidR="00FE53CB" w:rsidRPr="006C6C4F">
        <w:rPr>
          <w:bCs w:val="0"/>
          <w:lang w:val="en-GB"/>
        </w:rPr>
        <w:t xml:space="preserve">, </w:t>
      </w:r>
      <w:r w:rsidR="00721BD7" w:rsidRPr="006C6C4F">
        <w:rPr>
          <w:bCs w:val="0"/>
          <w:lang w:val="en-GB"/>
        </w:rPr>
        <w:t>the Residents’ Register Service</w:t>
      </w:r>
      <w:r w:rsidR="006328C3" w:rsidRPr="006C6C4F">
        <w:rPr>
          <w:bCs w:val="0"/>
          <w:lang w:val="en-GB"/>
        </w:rPr>
        <w:t>.</w:t>
      </w:r>
    </w:p>
    <w:p w14:paraId="723E382B" w14:textId="77777777" w:rsidR="006328C3" w:rsidRPr="006C6C4F" w:rsidRDefault="006328C3" w:rsidP="00B81F1B">
      <w:pPr>
        <w:pStyle w:val="MMultilevel"/>
        <w:rPr>
          <w:bCs w:val="0"/>
          <w:lang w:val="en-GB"/>
        </w:rPr>
      </w:pPr>
    </w:p>
    <w:p w14:paraId="57FDCDF1" w14:textId="0EFCC212" w:rsidR="00B311A7" w:rsidRPr="006C6C4F" w:rsidRDefault="00207B65" w:rsidP="00B81F1B">
      <w:pPr>
        <w:pStyle w:val="MMultilevel"/>
        <w:rPr>
          <w:bCs w:val="0"/>
          <w:lang w:val="en-GB"/>
        </w:rPr>
      </w:pPr>
      <w:r w:rsidRPr="006C6C4F">
        <w:rPr>
          <w:bCs w:val="0"/>
          <w:lang w:val="en-GB"/>
        </w:rPr>
        <w:t>N</w:t>
      </w:r>
      <w:r w:rsidR="00AB4000" w:rsidRPr="006C6C4F">
        <w:rPr>
          <w:bCs w:val="0"/>
          <w:lang w:val="en-GB"/>
        </w:rPr>
        <w:t xml:space="preserve">ames of </w:t>
      </w:r>
      <w:r w:rsidR="00B311A7" w:rsidRPr="006C6C4F">
        <w:rPr>
          <w:bCs w:val="0"/>
          <w:lang w:val="en-GB"/>
        </w:rPr>
        <w:t xml:space="preserve">successful </w:t>
      </w:r>
      <w:r w:rsidR="00795BE3" w:rsidRPr="006C6C4F">
        <w:rPr>
          <w:bCs w:val="0"/>
          <w:lang w:val="en-GB"/>
        </w:rPr>
        <w:t>foreign investors</w:t>
      </w:r>
      <w:r w:rsidR="00B311A7" w:rsidRPr="006C6C4F">
        <w:rPr>
          <w:bCs w:val="0"/>
          <w:lang w:val="en-GB"/>
        </w:rPr>
        <w:t xml:space="preserve"> are </w:t>
      </w:r>
      <w:r w:rsidR="004B26AD" w:rsidRPr="006C6C4F">
        <w:rPr>
          <w:bCs w:val="0"/>
          <w:lang w:val="en-GB"/>
        </w:rPr>
        <w:t xml:space="preserve">not </w:t>
      </w:r>
      <w:r w:rsidR="00B311A7" w:rsidRPr="006C6C4F">
        <w:rPr>
          <w:bCs w:val="0"/>
          <w:lang w:val="en-GB"/>
        </w:rPr>
        <w:t>published</w:t>
      </w:r>
      <w:r w:rsidR="00AB4000" w:rsidRPr="006C6C4F">
        <w:rPr>
          <w:bCs w:val="0"/>
          <w:lang w:val="en-GB"/>
        </w:rPr>
        <w:t xml:space="preserve"> due to data protection reasons</w:t>
      </w:r>
      <w:r w:rsidR="00B311A7" w:rsidRPr="006C6C4F">
        <w:rPr>
          <w:bCs w:val="0"/>
          <w:lang w:val="en-GB"/>
        </w:rPr>
        <w:t>.</w:t>
      </w:r>
      <w:r w:rsidR="00AB4000" w:rsidRPr="00A36FFC">
        <w:rPr>
          <w:rStyle w:val="FootnoteReference"/>
        </w:rPr>
        <w:footnoteReference w:id="130"/>
      </w:r>
      <w:r w:rsidR="007D22E2" w:rsidRPr="006C6C4F">
        <w:rPr>
          <w:bCs w:val="0"/>
          <w:lang w:val="en-GB"/>
        </w:rPr>
        <w:t xml:space="preserve"> However, the Migration Department recently released anonymised </w:t>
      </w:r>
      <w:r w:rsidR="00DF3D2F" w:rsidRPr="006C6C4F">
        <w:rPr>
          <w:bCs w:val="0"/>
          <w:lang w:val="en-GB"/>
        </w:rPr>
        <w:t xml:space="preserve">data for </w:t>
      </w:r>
      <w:r w:rsidR="00DF3D2F" w:rsidRPr="006C6C4F">
        <w:rPr>
          <w:bCs w:val="0"/>
          <w:i/>
          <w:lang w:val="en-GB"/>
        </w:rPr>
        <w:t>all</w:t>
      </w:r>
      <w:r w:rsidR="00DF3D2F" w:rsidRPr="006C6C4F">
        <w:rPr>
          <w:bCs w:val="0"/>
          <w:lang w:val="en-GB"/>
        </w:rPr>
        <w:t xml:space="preserve"> </w:t>
      </w:r>
      <w:r w:rsidR="00795BE3" w:rsidRPr="006C6C4F">
        <w:rPr>
          <w:bCs w:val="0"/>
          <w:lang w:val="en-GB"/>
        </w:rPr>
        <w:t xml:space="preserve">successful </w:t>
      </w:r>
      <w:r w:rsidR="00DF3D2F" w:rsidRPr="006C6C4F">
        <w:rPr>
          <w:bCs w:val="0"/>
          <w:lang w:val="en-GB"/>
        </w:rPr>
        <w:t>TRP applicants</w:t>
      </w:r>
      <w:r w:rsidR="00795BE3" w:rsidRPr="006C6C4F">
        <w:rPr>
          <w:bCs w:val="0"/>
          <w:lang w:val="en-GB"/>
        </w:rPr>
        <w:t>,</w:t>
      </w:r>
      <w:r w:rsidR="00B60F8A" w:rsidRPr="006C6C4F">
        <w:rPr>
          <w:bCs w:val="0"/>
          <w:lang w:val="en-GB"/>
        </w:rPr>
        <w:softHyphen/>
      </w:r>
      <w:r w:rsidR="00DF3D2F" w:rsidRPr="006C6C4F">
        <w:rPr>
          <w:bCs w:val="0"/>
          <w:lang w:val="en-GB"/>
        </w:rPr>
        <w:t xml:space="preserve"> </w:t>
      </w:r>
      <w:r w:rsidR="00795BE3" w:rsidRPr="006C6C4F">
        <w:rPr>
          <w:bCs w:val="0"/>
          <w:lang w:val="en-GB"/>
        </w:rPr>
        <w:t>covering</w:t>
      </w:r>
      <w:r w:rsidR="00DF3D2F" w:rsidRPr="006C6C4F">
        <w:rPr>
          <w:bCs w:val="0"/>
          <w:lang w:val="en-GB"/>
        </w:rPr>
        <w:t xml:space="preserve"> </w:t>
      </w:r>
      <w:r w:rsidR="00795BE3" w:rsidRPr="006C6C4F">
        <w:rPr>
          <w:bCs w:val="0"/>
          <w:lang w:val="en-GB"/>
        </w:rPr>
        <w:t>December</w:t>
      </w:r>
      <w:r w:rsidR="00AE78BA">
        <w:rPr>
          <w:bCs w:val="0"/>
          <w:lang w:val="en-GB"/>
        </w:rPr>
        <w:t xml:space="preserve"> 2017</w:t>
      </w:r>
      <w:r w:rsidR="00DF3D2F" w:rsidRPr="006C6C4F">
        <w:rPr>
          <w:bCs w:val="0"/>
          <w:lang w:val="en-GB"/>
        </w:rPr>
        <w:t xml:space="preserve">-March 2018, listed by the TRP number and </w:t>
      </w:r>
      <w:r w:rsidR="00164721">
        <w:rPr>
          <w:bCs w:val="0"/>
          <w:lang w:val="en-GB"/>
        </w:rPr>
        <w:t>indicating</w:t>
      </w:r>
      <w:r w:rsidR="00164721" w:rsidRPr="006C6C4F">
        <w:rPr>
          <w:bCs w:val="0"/>
          <w:lang w:val="en-GB"/>
        </w:rPr>
        <w:t xml:space="preserve"> </w:t>
      </w:r>
      <w:r w:rsidR="00DF3D2F" w:rsidRPr="006C6C4F">
        <w:rPr>
          <w:bCs w:val="0"/>
          <w:lang w:val="en-GB"/>
        </w:rPr>
        <w:t>the migration office that issued it.</w:t>
      </w:r>
      <w:r w:rsidR="00DF3D2F" w:rsidRPr="00A36FFC">
        <w:rPr>
          <w:rStyle w:val="FootnoteReference"/>
        </w:rPr>
        <w:footnoteReference w:id="131"/>
      </w:r>
    </w:p>
    <w:p w14:paraId="3ED28E5D" w14:textId="77777777" w:rsidR="00031A5E" w:rsidRPr="006C6C4F" w:rsidRDefault="00031A5E" w:rsidP="00B81F1B">
      <w:pPr>
        <w:pStyle w:val="MMultilevel"/>
        <w:rPr>
          <w:bCs w:val="0"/>
          <w:lang w:val="en-GB"/>
        </w:rPr>
      </w:pPr>
    </w:p>
    <w:p w14:paraId="7877FC3B" w14:textId="25DA750D" w:rsidR="00031A5E" w:rsidRPr="006C6C4F" w:rsidRDefault="00031A5E" w:rsidP="00A864C4">
      <w:pPr>
        <w:autoSpaceDE w:val="0"/>
        <w:autoSpaceDN w:val="0"/>
        <w:adjustRightInd w:val="0"/>
        <w:jc w:val="both"/>
        <w:rPr>
          <w:bCs/>
          <w:sz w:val="22"/>
          <w:szCs w:val="22"/>
        </w:rPr>
      </w:pPr>
      <w:r w:rsidRPr="006C6C4F">
        <w:rPr>
          <w:bCs/>
          <w:sz w:val="22"/>
          <w:szCs w:val="22"/>
        </w:rPr>
        <w:t xml:space="preserve">The grounds under which foreign investors apply for temporary residence are listed </w:t>
      </w:r>
      <w:r w:rsidR="0038124A" w:rsidRPr="006C6C4F">
        <w:rPr>
          <w:bCs/>
          <w:sz w:val="22"/>
          <w:szCs w:val="22"/>
        </w:rPr>
        <w:t>as ‘lawful activities’</w:t>
      </w:r>
      <w:r w:rsidR="00EF6294" w:rsidRPr="006C6C4F">
        <w:rPr>
          <w:bCs/>
          <w:sz w:val="22"/>
          <w:szCs w:val="22"/>
        </w:rPr>
        <w:t>.</w:t>
      </w:r>
      <w:r w:rsidR="0038124A" w:rsidRPr="00A36FFC">
        <w:rPr>
          <w:rStyle w:val="FootnoteReference"/>
        </w:rPr>
        <w:footnoteReference w:id="132"/>
      </w:r>
      <w:r w:rsidR="00EF6294" w:rsidRPr="006C6C4F">
        <w:rPr>
          <w:bCs/>
          <w:sz w:val="22"/>
          <w:szCs w:val="22"/>
        </w:rPr>
        <w:t xml:space="preserve"> They</w:t>
      </w:r>
      <w:r w:rsidRPr="006C6C4F">
        <w:rPr>
          <w:bCs/>
          <w:sz w:val="22"/>
          <w:szCs w:val="22"/>
        </w:rPr>
        <w:t xml:space="preserve"> are detailed in Article 45 LLSA and include not only those investing or establishing new business, but also highly skilled leaders of large companies,</w:t>
      </w:r>
      <w:r w:rsidRPr="00A36FFC">
        <w:rPr>
          <w:rStyle w:val="FootnoteReference"/>
        </w:rPr>
        <w:footnoteReference w:id="133"/>
      </w:r>
      <w:r w:rsidRPr="006C6C4F">
        <w:rPr>
          <w:bCs/>
          <w:sz w:val="22"/>
          <w:szCs w:val="22"/>
        </w:rPr>
        <w:t xml:space="preserve"> sports professionals,</w:t>
      </w:r>
      <w:r w:rsidRPr="009D75E1">
        <w:rPr>
          <w:rStyle w:val="FootnoteReference"/>
        </w:rPr>
        <w:footnoteReference w:id="134"/>
      </w:r>
      <w:r w:rsidRPr="006C6C4F">
        <w:rPr>
          <w:bCs/>
          <w:sz w:val="22"/>
          <w:szCs w:val="22"/>
        </w:rPr>
        <w:t xml:space="preserve"> artists,</w:t>
      </w:r>
      <w:r w:rsidRPr="00A36FFC">
        <w:rPr>
          <w:rStyle w:val="FootnoteReference"/>
        </w:rPr>
        <w:footnoteReference w:id="135"/>
      </w:r>
      <w:r w:rsidRPr="006C6C4F">
        <w:rPr>
          <w:bCs/>
          <w:sz w:val="22"/>
          <w:szCs w:val="22"/>
        </w:rPr>
        <w:t xml:space="preserve"> journalists,</w:t>
      </w:r>
      <w:r w:rsidRPr="00A36FFC">
        <w:rPr>
          <w:rStyle w:val="FootnoteReference"/>
        </w:rPr>
        <w:footnoteReference w:id="136"/>
      </w:r>
      <w:r w:rsidRPr="006C6C4F">
        <w:rPr>
          <w:bCs/>
          <w:sz w:val="22"/>
          <w:szCs w:val="22"/>
        </w:rPr>
        <w:t xml:space="preserve"> religious clergymen,</w:t>
      </w:r>
      <w:r w:rsidRPr="009D75E1">
        <w:rPr>
          <w:rStyle w:val="FootnoteReference"/>
        </w:rPr>
        <w:footnoteReference w:id="137"/>
      </w:r>
      <w:r w:rsidRPr="006C6C4F">
        <w:rPr>
          <w:bCs/>
          <w:sz w:val="22"/>
          <w:szCs w:val="22"/>
        </w:rPr>
        <w:t xml:space="preserve"> persons implementing joint inter-governmental programmes</w:t>
      </w:r>
      <w:r w:rsidRPr="009D75E1">
        <w:rPr>
          <w:rStyle w:val="FootnoteReference"/>
        </w:rPr>
        <w:footnoteReference w:id="138"/>
      </w:r>
      <w:r w:rsidRPr="006C6C4F">
        <w:rPr>
          <w:bCs/>
          <w:sz w:val="22"/>
          <w:szCs w:val="22"/>
        </w:rPr>
        <w:t xml:space="preserve"> and persons volunteering under the EU programmes.</w:t>
      </w:r>
      <w:r w:rsidRPr="009D75E1">
        <w:rPr>
          <w:rStyle w:val="FootnoteReference"/>
        </w:rPr>
        <w:footnoteReference w:id="139"/>
      </w:r>
      <w:r w:rsidRPr="006C6C4F">
        <w:rPr>
          <w:bCs/>
          <w:sz w:val="22"/>
          <w:szCs w:val="22"/>
        </w:rPr>
        <w:t xml:space="preserve"> The statistical data </w:t>
      </w:r>
      <w:r w:rsidR="008C1247" w:rsidRPr="006C6C4F">
        <w:rPr>
          <w:bCs/>
          <w:sz w:val="22"/>
          <w:szCs w:val="22"/>
        </w:rPr>
        <w:t xml:space="preserve">for 2012-2015 </w:t>
      </w:r>
      <w:r w:rsidR="00E5385B">
        <w:rPr>
          <w:bCs/>
          <w:sz w:val="22"/>
          <w:szCs w:val="22"/>
        </w:rPr>
        <w:t xml:space="preserve">and 2017 </w:t>
      </w:r>
      <w:r w:rsidRPr="006C6C4F">
        <w:rPr>
          <w:bCs/>
          <w:sz w:val="22"/>
          <w:szCs w:val="22"/>
        </w:rPr>
        <w:t xml:space="preserve">covers all these </w:t>
      </w:r>
      <w:r w:rsidR="00EF6294" w:rsidRPr="006C6C4F">
        <w:rPr>
          <w:bCs/>
          <w:sz w:val="22"/>
          <w:szCs w:val="22"/>
        </w:rPr>
        <w:t xml:space="preserve">types of applicants in the ‘lawful activities’ </w:t>
      </w:r>
      <w:r w:rsidR="000964B3" w:rsidRPr="006C6C4F">
        <w:rPr>
          <w:bCs/>
          <w:sz w:val="22"/>
          <w:szCs w:val="22"/>
        </w:rPr>
        <w:t>category</w:t>
      </w:r>
      <w:r w:rsidR="00EF6294" w:rsidRPr="006C6C4F">
        <w:rPr>
          <w:bCs/>
          <w:sz w:val="22"/>
          <w:szCs w:val="22"/>
        </w:rPr>
        <w:t>: the</w:t>
      </w:r>
      <w:r w:rsidRPr="006C6C4F">
        <w:rPr>
          <w:bCs/>
          <w:sz w:val="22"/>
          <w:szCs w:val="22"/>
        </w:rPr>
        <w:t xml:space="preserve"> specific data </w:t>
      </w:r>
      <w:r w:rsidR="00EF6294" w:rsidRPr="006C6C4F">
        <w:rPr>
          <w:bCs/>
          <w:sz w:val="22"/>
          <w:szCs w:val="22"/>
        </w:rPr>
        <w:t xml:space="preserve">covering </w:t>
      </w:r>
      <w:r w:rsidRPr="006C6C4F">
        <w:rPr>
          <w:bCs/>
          <w:sz w:val="22"/>
          <w:szCs w:val="22"/>
        </w:rPr>
        <w:t xml:space="preserve">only foreign investors </w:t>
      </w:r>
      <w:r w:rsidR="00B317B3">
        <w:rPr>
          <w:bCs/>
          <w:sz w:val="22"/>
          <w:szCs w:val="22"/>
        </w:rPr>
        <w:t>was</w:t>
      </w:r>
      <w:r w:rsidR="00B317B3" w:rsidRPr="006C6C4F">
        <w:rPr>
          <w:bCs/>
          <w:sz w:val="22"/>
          <w:szCs w:val="22"/>
        </w:rPr>
        <w:t xml:space="preserve"> </w:t>
      </w:r>
      <w:r w:rsidRPr="006C6C4F">
        <w:rPr>
          <w:bCs/>
          <w:sz w:val="22"/>
          <w:szCs w:val="22"/>
        </w:rPr>
        <w:t>not published in the Migration Yearbooks.</w:t>
      </w:r>
    </w:p>
    <w:p w14:paraId="2E145FAB" w14:textId="77777777" w:rsidR="004D03DA" w:rsidRPr="006C6C4F" w:rsidRDefault="004D03DA" w:rsidP="008E3DA7">
      <w:pPr>
        <w:autoSpaceDE w:val="0"/>
        <w:autoSpaceDN w:val="0"/>
        <w:adjustRightInd w:val="0"/>
        <w:jc w:val="both"/>
        <w:rPr>
          <w:bCs/>
          <w:sz w:val="22"/>
          <w:szCs w:val="22"/>
        </w:rPr>
      </w:pPr>
    </w:p>
    <w:p w14:paraId="5EA6DCE4" w14:textId="08CA26E7" w:rsidR="004D03DA" w:rsidRPr="006C6C4F" w:rsidRDefault="004D03DA" w:rsidP="00F30B0C">
      <w:pPr>
        <w:pStyle w:val="MBT"/>
        <w:rPr>
          <w:lang w:val="en-GB"/>
        </w:rPr>
      </w:pPr>
      <w:r w:rsidRPr="006C6C4F">
        <w:rPr>
          <w:bCs w:val="0"/>
          <w:lang w:val="en-GB"/>
        </w:rPr>
        <w:t xml:space="preserve">The table below includes information regarding both issuing new </w:t>
      </w:r>
      <w:r w:rsidR="006241FA" w:rsidRPr="006C6C4F">
        <w:rPr>
          <w:bCs w:val="0"/>
          <w:lang w:val="en-GB"/>
        </w:rPr>
        <w:t>and</w:t>
      </w:r>
      <w:r w:rsidRPr="006C6C4F">
        <w:rPr>
          <w:bCs w:val="0"/>
          <w:lang w:val="en-GB"/>
        </w:rPr>
        <w:t xml:space="preserve"> renewing the expired </w:t>
      </w:r>
      <w:r w:rsidR="00A66B39">
        <w:rPr>
          <w:bCs w:val="0"/>
          <w:lang w:val="en-GB"/>
        </w:rPr>
        <w:t>TRPs</w:t>
      </w:r>
      <w:r w:rsidRPr="006C6C4F">
        <w:rPr>
          <w:bCs w:val="0"/>
          <w:lang w:val="en-GB"/>
        </w:rPr>
        <w:t>.</w:t>
      </w:r>
      <w:r w:rsidR="00D4746D" w:rsidRPr="006C6C4F">
        <w:rPr>
          <w:bCs w:val="0"/>
          <w:lang w:val="en-GB"/>
        </w:rPr>
        <w:t xml:space="preserve"> </w:t>
      </w:r>
      <w:r w:rsidR="00D4746D" w:rsidRPr="006C6C4F">
        <w:rPr>
          <w:lang w:val="en-GB"/>
        </w:rPr>
        <w:t xml:space="preserve">It </w:t>
      </w:r>
      <w:r w:rsidR="000E4DFE" w:rsidRPr="006C6C4F">
        <w:rPr>
          <w:lang w:val="en-GB"/>
        </w:rPr>
        <w:t>shows</w:t>
      </w:r>
      <w:r w:rsidR="00D4746D" w:rsidRPr="006C6C4F">
        <w:rPr>
          <w:lang w:val="en-GB"/>
        </w:rPr>
        <w:t xml:space="preserve"> that in 2014, the non-EU investors’ applications on the ground</w:t>
      </w:r>
      <w:r w:rsidR="000E4DFE" w:rsidRPr="006C6C4F">
        <w:rPr>
          <w:lang w:val="en-GB"/>
        </w:rPr>
        <w:t>s</w:t>
      </w:r>
      <w:r w:rsidR="00D4746D" w:rsidRPr="006C6C4F">
        <w:rPr>
          <w:lang w:val="en-GB"/>
        </w:rPr>
        <w:t xml:space="preserve"> of lawful activities rose by </w:t>
      </w:r>
      <w:r w:rsidR="00B44BF8">
        <w:rPr>
          <w:lang w:val="en-GB"/>
        </w:rPr>
        <w:t>up to</w:t>
      </w:r>
      <w:r w:rsidR="00D4746D" w:rsidRPr="006C6C4F">
        <w:rPr>
          <w:lang w:val="en-GB"/>
        </w:rPr>
        <w:t xml:space="preserve"> 1.6.</w:t>
      </w:r>
      <w:r w:rsidR="00D4746D" w:rsidRPr="009D75E1">
        <w:rPr>
          <w:rStyle w:val="FootnoteReference"/>
        </w:rPr>
        <w:footnoteReference w:id="140"/>
      </w:r>
      <w:r w:rsidR="00D4746D" w:rsidRPr="006C6C4F">
        <w:rPr>
          <w:lang w:val="en-GB"/>
        </w:rPr>
        <w:t xml:space="preserve"> </w:t>
      </w:r>
      <w:r w:rsidR="004A59EA" w:rsidRPr="006C6C4F">
        <w:rPr>
          <w:lang w:val="en-GB"/>
        </w:rPr>
        <w:t>T</w:t>
      </w:r>
      <w:r w:rsidR="000E4DFE" w:rsidRPr="006C6C4F">
        <w:rPr>
          <w:bCs w:val="0"/>
          <w:lang w:val="en-GB"/>
        </w:rPr>
        <w:t xml:space="preserve">he </w:t>
      </w:r>
      <w:r w:rsidR="00F30B0C" w:rsidRPr="006C6C4F">
        <w:rPr>
          <w:bCs w:val="0"/>
          <w:lang w:val="en-GB"/>
        </w:rPr>
        <w:t>post-2014</w:t>
      </w:r>
      <w:r w:rsidR="006241FA" w:rsidRPr="006C6C4F">
        <w:rPr>
          <w:bCs w:val="0"/>
          <w:lang w:val="en-GB"/>
        </w:rPr>
        <w:t xml:space="preserve"> reduction in application</w:t>
      </w:r>
      <w:r w:rsidR="000E4DFE" w:rsidRPr="006C6C4F">
        <w:rPr>
          <w:bCs w:val="0"/>
          <w:lang w:val="en-GB"/>
        </w:rPr>
        <w:t xml:space="preserve"> number</w:t>
      </w:r>
      <w:r w:rsidR="006241FA" w:rsidRPr="006C6C4F">
        <w:rPr>
          <w:bCs w:val="0"/>
          <w:lang w:val="en-GB"/>
        </w:rPr>
        <w:t xml:space="preserve">s can be explained by the </w:t>
      </w:r>
      <w:r w:rsidR="00D4746D" w:rsidRPr="006C6C4F">
        <w:rPr>
          <w:bCs w:val="0"/>
          <w:lang w:val="en-GB"/>
        </w:rPr>
        <w:t xml:space="preserve">legal changes that </w:t>
      </w:r>
      <w:r w:rsidR="006241FA" w:rsidRPr="006C6C4F">
        <w:rPr>
          <w:bCs w:val="0"/>
          <w:lang w:val="en-GB"/>
        </w:rPr>
        <w:t xml:space="preserve">were introduced </w:t>
      </w:r>
      <w:r w:rsidR="00870A64" w:rsidRPr="006C6C4F">
        <w:rPr>
          <w:bCs w:val="0"/>
          <w:lang w:val="en-GB"/>
        </w:rPr>
        <w:t>in November 2014 to fight residence</w:t>
      </w:r>
      <w:r w:rsidR="003C33D4" w:rsidRPr="006C6C4F">
        <w:rPr>
          <w:bCs w:val="0"/>
          <w:lang w:val="en-GB"/>
        </w:rPr>
        <w:t xml:space="preserve"> acquisition</w:t>
      </w:r>
      <w:r w:rsidR="00870A64" w:rsidRPr="006C6C4F">
        <w:rPr>
          <w:bCs w:val="0"/>
          <w:lang w:val="en-GB"/>
        </w:rPr>
        <w:t xml:space="preserve"> </w:t>
      </w:r>
      <w:r w:rsidR="00B44BF8">
        <w:rPr>
          <w:bCs w:val="0"/>
          <w:lang w:val="en-GB"/>
        </w:rPr>
        <w:t>through</w:t>
      </w:r>
      <w:r w:rsidR="00B44BF8" w:rsidRPr="006C6C4F">
        <w:rPr>
          <w:bCs w:val="0"/>
          <w:lang w:val="en-GB"/>
        </w:rPr>
        <w:t xml:space="preserve"> </w:t>
      </w:r>
      <w:r w:rsidR="006241FA" w:rsidRPr="006C6C4F">
        <w:rPr>
          <w:bCs w:val="0"/>
          <w:lang w:val="en-GB"/>
        </w:rPr>
        <w:t>fictitious companies</w:t>
      </w:r>
      <w:r w:rsidR="00D4746D" w:rsidRPr="006C6C4F">
        <w:rPr>
          <w:bCs w:val="0"/>
          <w:lang w:val="en-GB"/>
        </w:rPr>
        <w:t>, as discussed in Section I (Legal background).</w:t>
      </w:r>
      <w:r w:rsidR="00F30B0C" w:rsidRPr="006C6C4F">
        <w:rPr>
          <w:bCs w:val="0"/>
          <w:lang w:val="en-GB"/>
        </w:rPr>
        <w:t xml:space="preserve"> </w:t>
      </w:r>
    </w:p>
    <w:p w14:paraId="4274F264" w14:textId="77777777" w:rsidR="00B311A7" w:rsidRPr="006C6C4F" w:rsidRDefault="00B311A7" w:rsidP="002636C6">
      <w:pPr>
        <w:pStyle w:val="MBT"/>
        <w:rPr>
          <w:lang w:val="en-GB"/>
        </w:rPr>
      </w:pPr>
      <w:bookmarkStart w:id="35" w:name="_Hlk496121669"/>
    </w:p>
    <w:tbl>
      <w:tblPr>
        <w:tblStyle w:val="MTableStyle"/>
        <w:tblW w:w="5023" w:type="pct"/>
        <w:tblLook w:val="04A0" w:firstRow="1" w:lastRow="0" w:firstColumn="1" w:lastColumn="0" w:noHBand="0" w:noVBand="1"/>
      </w:tblPr>
      <w:tblGrid>
        <w:gridCol w:w="816"/>
        <w:gridCol w:w="1336"/>
        <w:gridCol w:w="1642"/>
        <w:gridCol w:w="1434"/>
        <w:gridCol w:w="1658"/>
        <w:gridCol w:w="2399"/>
      </w:tblGrid>
      <w:tr w:rsidR="00EB17A4" w:rsidRPr="00DC1273" w14:paraId="5AB81989" w14:textId="77777777" w:rsidTr="008B4DE9">
        <w:trPr>
          <w:cnfStyle w:val="100000000000" w:firstRow="1" w:lastRow="0" w:firstColumn="0" w:lastColumn="0" w:oddVBand="0" w:evenVBand="0" w:oddHBand="0" w:evenHBand="0" w:firstRowFirstColumn="0" w:firstRowLastColumn="0" w:lastRowFirstColumn="0" w:lastRowLastColumn="0"/>
          <w:tblHeader/>
        </w:trPr>
        <w:tc>
          <w:tcPr>
            <w:tcW w:w="439" w:type="pct"/>
            <w:shd w:val="clear" w:color="auto" w:fill="95B3D7" w:themeFill="accent1" w:themeFillTint="99"/>
            <w:vAlign w:val="center"/>
          </w:tcPr>
          <w:p w14:paraId="1B83BED2" w14:textId="77777777" w:rsidR="00EB17A4" w:rsidRPr="00DC1273" w:rsidRDefault="00EB17A4" w:rsidP="005C109E">
            <w:pPr>
              <w:spacing w:before="0" w:after="0"/>
              <w:rPr>
                <w:rFonts w:ascii="Century Gothic" w:hAnsi="Century Gothic"/>
                <w:sz w:val="18"/>
              </w:rPr>
            </w:pPr>
            <w:r w:rsidRPr="00DC1273">
              <w:rPr>
                <w:rFonts w:ascii="Century Gothic" w:hAnsi="Century Gothic"/>
                <w:sz w:val="18"/>
              </w:rPr>
              <w:t>Year</w:t>
            </w:r>
          </w:p>
        </w:tc>
        <w:tc>
          <w:tcPr>
            <w:tcW w:w="719" w:type="pct"/>
            <w:shd w:val="clear" w:color="auto" w:fill="95B3D7" w:themeFill="accent1" w:themeFillTint="99"/>
            <w:vAlign w:val="center"/>
          </w:tcPr>
          <w:p w14:paraId="283C459F" w14:textId="77777777" w:rsidR="00EB17A4" w:rsidRPr="00DC1273" w:rsidRDefault="00EB17A4" w:rsidP="005C109E">
            <w:pPr>
              <w:spacing w:before="0" w:after="0"/>
              <w:rPr>
                <w:rFonts w:ascii="Century Gothic" w:hAnsi="Century Gothic"/>
                <w:sz w:val="18"/>
                <w:lang w:val="en-GB"/>
              </w:rPr>
            </w:pPr>
            <w:r w:rsidRPr="00DC1273">
              <w:rPr>
                <w:rFonts w:ascii="Century Gothic" w:hAnsi="Century Gothic"/>
                <w:sz w:val="18"/>
                <w:lang w:val="en-GB"/>
              </w:rPr>
              <w:t>Total no. of requests for residence</w:t>
            </w:r>
          </w:p>
        </w:tc>
        <w:tc>
          <w:tcPr>
            <w:tcW w:w="884" w:type="pct"/>
            <w:shd w:val="clear" w:color="auto" w:fill="95B3D7" w:themeFill="accent1" w:themeFillTint="99"/>
            <w:vAlign w:val="center"/>
          </w:tcPr>
          <w:p w14:paraId="2B47BB9B" w14:textId="03621712" w:rsidR="00EB17A4" w:rsidRPr="00DC1273" w:rsidRDefault="00EB17A4" w:rsidP="005C109E">
            <w:pPr>
              <w:spacing w:before="0" w:after="0"/>
              <w:rPr>
                <w:rFonts w:ascii="Century Gothic" w:hAnsi="Century Gothic"/>
                <w:sz w:val="18"/>
                <w:lang w:val="en-GB"/>
              </w:rPr>
            </w:pPr>
            <w:r w:rsidRPr="00DC1273">
              <w:rPr>
                <w:rFonts w:ascii="Century Gothic" w:hAnsi="Century Gothic"/>
                <w:sz w:val="18"/>
                <w:lang w:val="en-GB"/>
              </w:rPr>
              <w:t>No. of requests for residence</w:t>
            </w:r>
            <w:r w:rsidR="009C2C44" w:rsidRPr="00DC1273">
              <w:rPr>
                <w:rFonts w:ascii="Century Gothic" w:hAnsi="Century Gothic"/>
                <w:sz w:val="18"/>
                <w:lang w:val="en-GB"/>
              </w:rPr>
              <w:t xml:space="preserve"> (lawful activities)</w:t>
            </w:r>
          </w:p>
        </w:tc>
        <w:tc>
          <w:tcPr>
            <w:tcW w:w="772" w:type="pct"/>
            <w:shd w:val="clear" w:color="auto" w:fill="95B3D7" w:themeFill="accent1" w:themeFillTint="99"/>
            <w:vAlign w:val="center"/>
          </w:tcPr>
          <w:p w14:paraId="79F4F0C9" w14:textId="77777777" w:rsidR="00EB17A4" w:rsidRPr="00DC1273" w:rsidRDefault="00EB17A4" w:rsidP="005C109E">
            <w:pPr>
              <w:spacing w:before="0" w:after="0"/>
              <w:rPr>
                <w:rFonts w:ascii="Century Gothic" w:hAnsi="Century Gothic"/>
                <w:sz w:val="18"/>
              </w:rPr>
            </w:pPr>
            <w:r w:rsidRPr="00DC1273">
              <w:rPr>
                <w:rFonts w:ascii="Century Gothic" w:hAnsi="Century Gothic"/>
                <w:sz w:val="18"/>
              </w:rPr>
              <w:t xml:space="preserve">No. of </w:t>
            </w:r>
            <w:r w:rsidRPr="0008372C">
              <w:rPr>
                <w:rFonts w:ascii="Century Gothic" w:hAnsi="Century Gothic"/>
                <w:sz w:val="18"/>
                <w:lang w:val="en-US"/>
              </w:rPr>
              <w:t xml:space="preserve">successful </w:t>
            </w:r>
            <w:r w:rsidRPr="00DC1273">
              <w:rPr>
                <w:rFonts w:ascii="Century Gothic" w:hAnsi="Century Gothic"/>
                <w:sz w:val="18"/>
              </w:rPr>
              <w:t>applications</w:t>
            </w:r>
          </w:p>
        </w:tc>
        <w:tc>
          <w:tcPr>
            <w:tcW w:w="893" w:type="pct"/>
            <w:shd w:val="clear" w:color="auto" w:fill="95B3D7" w:themeFill="accent1" w:themeFillTint="99"/>
            <w:vAlign w:val="center"/>
          </w:tcPr>
          <w:p w14:paraId="44C65A29" w14:textId="77777777" w:rsidR="00EB17A4" w:rsidRPr="00DC1273" w:rsidRDefault="00EB17A4" w:rsidP="005C109E">
            <w:pPr>
              <w:spacing w:before="0" w:after="0"/>
              <w:rPr>
                <w:rFonts w:ascii="Century Gothic" w:hAnsi="Century Gothic"/>
                <w:sz w:val="18"/>
                <w:lang w:val="en-GB"/>
              </w:rPr>
            </w:pPr>
            <w:r w:rsidRPr="00DC1273">
              <w:rPr>
                <w:rFonts w:ascii="Century Gothic" w:hAnsi="Century Gothic"/>
                <w:sz w:val="18"/>
                <w:lang w:val="en-GB"/>
              </w:rPr>
              <w:t>No. of turned down applications</w:t>
            </w:r>
          </w:p>
        </w:tc>
        <w:tc>
          <w:tcPr>
            <w:tcW w:w="1292" w:type="pct"/>
            <w:shd w:val="clear" w:color="auto" w:fill="95B3D7" w:themeFill="accent1" w:themeFillTint="99"/>
            <w:vAlign w:val="center"/>
          </w:tcPr>
          <w:p w14:paraId="087DBC93" w14:textId="77777777" w:rsidR="00EB17A4" w:rsidRPr="00DC1273" w:rsidRDefault="00EB17A4" w:rsidP="005C109E">
            <w:pPr>
              <w:spacing w:before="0" w:after="0"/>
              <w:rPr>
                <w:rFonts w:ascii="Century Gothic" w:hAnsi="Century Gothic"/>
                <w:sz w:val="18"/>
              </w:rPr>
            </w:pPr>
            <w:r w:rsidRPr="00DC1273">
              <w:rPr>
                <w:rFonts w:ascii="Century Gothic" w:hAnsi="Century Gothic"/>
                <w:sz w:val="18"/>
              </w:rPr>
              <w:t>Sources</w:t>
            </w:r>
          </w:p>
        </w:tc>
      </w:tr>
      <w:tr w:rsidR="00EB17A4" w:rsidRPr="006C6C4F" w14:paraId="10E75EB8" w14:textId="77777777" w:rsidTr="008B4DE9">
        <w:tc>
          <w:tcPr>
            <w:tcW w:w="439" w:type="pct"/>
            <w:shd w:val="clear" w:color="auto" w:fill="DBE5F1" w:themeFill="accent1" w:themeFillTint="33"/>
          </w:tcPr>
          <w:p w14:paraId="63B87735" w14:textId="77777777" w:rsidR="00EB17A4" w:rsidRPr="00DC1273" w:rsidRDefault="00EB17A4" w:rsidP="005C109E">
            <w:pPr>
              <w:spacing w:before="0" w:after="0"/>
              <w:jc w:val="both"/>
              <w:rPr>
                <w:b/>
                <w:sz w:val="18"/>
              </w:rPr>
            </w:pPr>
            <w:r w:rsidRPr="00DC1273">
              <w:rPr>
                <w:b/>
                <w:sz w:val="18"/>
              </w:rPr>
              <w:lastRenderedPageBreak/>
              <w:t>2012</w:t>
            </w:r>
          </w:p>
        </w:tc>
        <w:tc>
          <w:tcPr>
            <w:tcW w:w="719" w:type="pct"/>
            <w:shd w:val="clear" w:color="auto" w:fill="D9D9D9" w:themeFill="background1" w:themeFillShade="D9"/>
          </w:tcPr>
          <w:p w14:paraId="36C20F4F" w14:textId="77777777" w:rsidR="00EB17A4" w:rsidRPr="006C6C4F" w:rsidRDefault="00EB17A4" w:rsidP="005C109E">
            <w:pPr>
              <w:spacing w:before="0" w:after="0"/>
              <w:jc w:val="both"/>
              <w:rPr>
                <w:sz w:val="18"/>
              </w:rPr>
            </w:pPr>
            <w:r w:rsidRPr="006C6C4F">
              <w:rPr>
                <w:sz w:val="18"/>
              </w:rPr>
              <w:t>13 432</w:t>
            </w:r>
          </w:p>
        </w:tc>
        <w:tc>
          <w:tcPr>
            <w:tcW w:w="884" w:type="pct"/>
            <w:shd w:val="clear" w:color="auto" w:fill="D9D9D9" w:themeFill="background1" w:themeFillShade="D9"/>
          </w:tcPr>
          <w:p w14:paraId="4DD2287C" w14:textId="77777777" w:rsidR="00EB17A4" w:rsidRPr="006C6C4F" w:rsidRDefault="00EB17A4" w:rsidP="005C109E">
            <w:pPr>
              <w:spacing w:before="0" w:after="0"/>
              <w:jc w:val="both"/>
              <w:rPr>
                <w:sz w:val="18"/>
              </w:rPr>
            </w:pPr>
            <w:r w:rsidRPr="006C6C4F">
              <w:rPr>
                <w:sz w:val="18"/>
              </w:rPr>
              <w:t>2 908</w:t>
            </w:r>
          </w:p>
        </w:tc>
        <w:tc>
          <w:tcPr>
            <w:tcW w:w="772" w:type="pct"/>
            <w:shd w:val="clear" w:color="auto" w:fill="D9D9D9" w:themeFill="background1" w:themeFillShade="D9"/>
          </w:tcPr>
          <w:p w14:paraId="1267EE46" w14:textId="77777777" w:rsidR="00EB17A4" w:rsidRPr="006C6C4F" w:rsidRDefault="00EB17A4" w:rsidP="005C109E">
            <w:pPr>
              <w:spacing w:before="0" w:after="0"/>
              <w:jc w:val="both"/>
              <w:rPr>
                <w:sz w:val="18"/>
              </w:rPr>
            </w:pPr>
            <w:r w:rsidRPr="006C6C4F">
              <w:rPr>
                <w:sz w:val="18"/>
              </w:rPr>
              <w:t>2 816</w:t>
            </w:r>
          </w:p>
        </w:tc>
        <w:tc>
          <w:tcPr>
            <w:tcW w:w="893" w:type="pct"/>
            <w:shd w:val="clear" w:color="auto" w:fill="D9D9D9" w:themeFill="background1" w:themeFillShade="D9"/>
          </w:tcPr>
          <w:p w14:paraId="382CA303" w14:textId="77777777" w:rsidR="00EB17A4" w:rsidRPr="006C6C4F" w:rsidRDefault="00EB17A4" w:rsidP="005C109E">
            <w:pPr>
              <w:spacing w:before="0" w:after="0"/>
              <w:jc w:val="both"/>
              <w:rPr>
                <w:sz w:val="18"/>
              </w:rPr>
            </w:pPr>
            <w:r w:rsidRPr="006C6C4F">
              <w:rPr>
                <w:sz w:val="18"/>
              </w:rPr>
              <w:t>62</w:t>
            </w:r>
          </w:p>
        </w:tc>
        <w:tc>
          <w:tcPr>
            <w:tcW w:w="1292" w:type="pct"/>
            <w:shd w:val="clear" w:color="auto" w:fill="D9D9D9" w:themeFill="background1" w:themeFillShade="D9"/>
          </w:tcPr>
          <w:p w14:paraId="23766AAE" w14:textId="77777777" w:rsidR="00EB17A4" w:rsidRPr="006C6C4F" w:rsidRDefault="00EB17A4" w:rsidP="005C109E">
            <w:pPr>
              <w:spacing w:before="0" w:after="0"/>
              <w:jc w:val="both"/>
              <w:rPr>
                <w:sz w:val="18"/>
              </w:rPr>
            </w:pPr>
            <w:r w:rsidRPr="006C6C4F">
              <w:rPr>
                <w:sz w:val="18"/>
              </w:rPr>
              <w:t>Migration Yearbook</w:t>
            </w:r>
            <w:r w:rsidRPr="0008372C">
              <w:rPr>
                <w:rStyle w:val="FootnoteReference"/>
              </w:rPr>
              <w:footnoteReference w:id="141"/>
            </w:r>
          </w:p>
        </w:tc>
      </w:tr>
      <w:tr w:rsidR="00EB17A4" w:rsidRPr="006C6C4F" w14:paraId="58580B3C" w14:textId="77777777" w:rsidTr="008B4DE9">
        <w:tc>
          <w:tcPr>
            <w:tcW w:w="439" w:type="pct"/>
            <w:shd w:val="clear" w:color="auto" w:fill="DBE5F1" w:themeFill="accent1" w:themeFillTint="33"/>
          </w:tcPr>
          <w:p w14:paraId="17297397" w14:textId="77777777" w:rsidR="00EB17A4" w:rsidRPr="00DC1273" w:rsidRDefault="00EB17A4" w:rsidP="005C109E">
            <w:pPr>
              <w:spacing w:before="0" w:after="0"/>
              <w:jc w:val="both"/>
              <w:rPr>
                <w:b/>
                <w:sz w:val="18"/>
              </w:rPr>
            </w:pPr>
            <w:r w:rsidRPr="00DC1273">
              <w:rPr>
                <w:b/>
                <w:sz w:val="18"/>
              </w:rPr>
              <w:t>2013</w:t>
            </w:r>
          </w:p>
        </w:tc>
        <w:tc>
          <w:tcPr>
            <w:tcW w:w="719" w:type="pct"/>
            <w:shd w:val="clear" w:color="auto" w:fill="D9D9D9" w:themeFill="background1" w:themeFillShade="D9"/>
          </w:tcPr>
          <w:p w14:paraId="2C442AEB" w14:textId="77777777" w:rsidR="00EB17A4" w:rsidRPr="006C6C4F" w:rsidRDefault="00EB17A4" w:rsidP="005C109E">
            <w:pPr>
              <w:spacing w:before="0" w:after="0"/>
              <w:jc w:val="both"/>
              <w:rPr>
                <w:sz w:val="18"/>
              </w:rPr>
            </w:pPr>
            <w:r w:rsidRPr="006C6C4F">
              <w:rPr>
                <w:sz w:val="18"/>
              </w:rPr>
              <w:t>14 947</w:t>
            </w:r>
          </w:p>
        </w:tc>
        <w:tc>
          <w:tcPr>
            <w:tcW w:w="884" w:type="pct"/>
            <w:shd w:val="clear" w:color="auto" w:fill="D9D9D9" w:themeFill="background1" w:themeFillShade="D9"/>
          </w:tcPr>
          <w:p w14:paraId="4E2F42A7" w14:textId="77777777" w:rsidR="00EB17A4" w:rsidRPr="006C6C4F" w:rsidRDefault="00EB17A4" w:rsidP="005C109E">
            <w:pPr>
              <w:spacing w:before="0" w:after="0"/>
              <w:jc w:val="both"/>
              <w:rPr>
                <w:sz w:val="18"/>
              </w:rPr>
            </w:pPr>
            <w:r w:rsidRPr="006C6C4F">
              <w:rPr>
                <w:sz w:val="18"/>
              </w:rPr>
              <w:t>4 523</w:t>
            </w:r>
          </w:p>
        </w:tc>
        <w:tc>
          <w:tcPr>
            <w:tcW w:w="772" w:type="pct"/>
            <w:shd w:val="clear" w:color="auto" w:fill="D9D9D9" w:themeFill="background1" w:themeFillShade="D9"/>
          </w:tcPr>
          <w:p w14:paraId="061CCCE0" w14:textId="77777777" w:rsidR="00EB17A4" w:rsidRPr="006C6C4F" w:rsidRDefault="00EB17A4" w:rsidP="005C109E">
            <w:pPr>
              <w:spacing w:before="0" w:after="0"/>
              <w:jc w:val="both"/>
              <w:rPr>
                <w:sz w:val="18"/>
              </w:rPr>
            </w:pPr>
            <w:r w:rsidRPr="006C6C4F">
              <w:rPr>
                <w:sz w:val="18"/>
              </w:rPr>
              <w:t>4 181</w:t>
            </w:r>
          </w:p>
        </w:tc>
        <w:tc>
          <w:tcPr>
            <w:tcW w:w="893" w:type="pct"/>
            <w:shd w:val="clear" w:color="auto" w:fill="D9D9D9" w:themeFill="background1" w:themeFillShade="D9"/>
          </w:tcPr>
          <w:p w14:paraId="19EC5670" w14:textId="77777777" w:rsidR="00EB17A4" w:rsidRPr="006C6C4F" w:rsidRDefault="00EB17A4" w:rsidP="005C109E">
            <w:pPr>
              <w:spacing w:before="0" w:after="0"/>
              <w:jc w:val="both"/>
              <w:rPr>
                <w:sz w:val="18"/>
              </w:rPr>
            </w:pPr>
            <w:r w:rsidRPr="006C6C4F">
              <w:rPr>
                <w:sz w:val="18"/>
              </w:rPr>
              <w:t>134</w:t>
            </w:r>
          </w:p>
        </w:tc>
        <w:tc>
          <w:tcPr>
            <w:tcW w:w="1292" w:type="pct"/>
            <w:shd w:val="clear" w:color="auto" w:fill="D9D9D9" w:themeFill="background1" w:themeFillShade="D9"/>
          </w:tcPr>
          <w:p w14:paraId="1ABCCED9" w14:textId="77777777" w:rsidR="00EB17A4" w:rsidRPr="006C6C4F" w:rsidRDefault="00EB17A4" w:rsidP="005C109E">
            <w:pPr>
              <w:spacing w:before="0" w:after="0"/>
              <w:jc w:val="both"/>
              <w:rPr>
                <w:sz w:val="18"/>
              </w:rPr>
            </w:pPr>
            <w:r w:rsidRPr="006C6C4F">
              <w:rPr>
                <w:sz w:val="18"/>
              </w:rPr>
              <w:t>Migration Yearbook</w:t>
            </w:r>
            <w:r w:rsidRPr="0008372C">
              <w:rPr>
                <w:rStyle w:val="FootnoteReference"/>
              </w:rPr>
              <w:footnoteReference w:id="142"/>
            </w:r>
          </w:p>
        </w:tc>
      </w:tr>
      <w:tr w:rsidR="00EB17A4" w:rsidRPr="006C6C4F" w14:paraId="0E93E8EA" w14:textId="77777777" w:rsidTr="008B4DE9">
        <w:tc>
          <w:tcPr>
            <w:tcW w:w="439" w:type="pct"/>
            <w:shd w:val="clear" w:color="auto" w:fill="DBE5F1" w:themeFill="accent1" w:themeFillTint="33"/>
          </w:tcPr>
          <w:p w14:paraId="44B3E3AC" w14:textId="77777777" w:rsidR="00EB17A4" w:rsidRPr="00DC1273" w:rsidRDefault="00EB17A4" w:rsidP="005C109E">
            <w:pPr>
              <w:spacing w:before="0" w:after="0"/>
              <w:jc w:val="both"/>
              <w:rPr>
                <w:b/>
                <w:sz w:val="18"/>
              </w:rPr>
            </w:pPr>
            <w:r w:rsidRPr="00DC1273">
              <w:rPr>
                <w:b/>
                <w:sz w:val="18"/>
              </w:rPr>
              <w:t>2014</w:t>
            </w:r>
          </w:p>
        </w:tc>
        <w:tc>
          <w:tcPr>
            <w:tcW w:w="719" w:type="pct"/>
            <w:shd w:val="clear" w:color="auto" w:fill="D9D9D9" w:themeFill="background1" w:themeFillShade="D9"/>
          </w:tcPr>
          <w:p w14:paraId="44322662" w14:textId="77777777" w:rsidR="00EB17A4" w:rsidRPr="006C6C4F" w:rsidRDefault="00EB17A4" w:rsidP="005C109E">
            <w:pPr>
              <w:spacing w:before="0" w:after="0"/>
              <w:jc w:val="both"/>
              <w:rPr>
                <w:sz w:val="18"/>
              </w:rPr>
            </w:pPr>
            <w:r w:rsidRPr="006C6C4F">
              <w:rPr>
                <w:sz w:val="18"/>
              </w:rPr>
              <w:t>19 625</w:t>
            </w:r>
          </w:p>
        </w:tc>
        <w:tc>
          <w:tcPr>
            <w:tcW w:w="884" w:type="pct"/>
            <w:shd w:val="clear" w:color="auto" w:fill="D9D9D9" w:themeFill="background1" w:themeFillShade="D9"/>
          </w:tcPr>
          <w:p w14:paraId="52F762D4" w14:textId="77777777" w:rsidR="00EB17A4" w:rsidRPr="006C6C4F" w:rsidRDefault="00EB17A4" w:rsidP="005C109E">
            <w:pPr>
              <w:spacing w:before="0" w:after="0"/>
              <w:jc w:val="both"/>
              <w:rPr>
                <w:sz w:val="18"/>
              </w:rPr>
            </w:pPr>
            <w:r w:rsidRPr="006C6C4F">
              <w:rPr>
                <w:sz w:val="18"/>
              </w:rPr>
              <w:t>7 696</w:t>
            </w:r>
          </w:p>
        </w:tc>
        <w:tc>
          <w:tcPr>
            <w:tcW w:w="772" w:type="pct"/>
            <w:shd w:val="clear" w:color="auto" w:fill="D9D9D9" w:themeFill="background1" w:themeFillShade="D9"/>
          </w:tcPr>
          <w:p w14:paraId="77974810" w14:textId="77777777" w:rsidR="00EB17A4" w:rsidRPr="006C6C4F" w:rsidRDefault="00EB17A4" w:rsidP="005C109E">
            <w:pPr>
              <w:spacing w:before="0" w:after="0"/>
              <w:jc w:val="both"/>
              <w:rPr>
                <w:sz w:val="18"/>
              </w:rPr>
            </w:pPr>
            <w:r w:rsidRPr="006C6C4F">
              <w:rPr>
                <w:sz w:val="18"/>
              </w:rPr>
              <w:t>6 615</w:t>
            </w:r>
          </w:p>
        </w:tc>
        <w:tc>
          <w:tcPr>
            <w:tcW w:w="893" w:type="pct"/>
            <w:shd w:val="clear" w:color="auto" w:fill="D9D9D9" w:themeFill="background1" w:themeFillShade="D9"/>
          </w:tcPr>
          <w:p w14:paraId="01B480FB" w14:textId="77777777" w:rsidR="00EB17A4" w:rsidRPr="006C6C4F" w:rsidRDefault="00EB17A4" w:rsidP="005C109E">
            <w:pPr>
              <w:spacing w:before="0" w:after="0"/>
              <w:jc w:val="both"/>
              <w:rPr>
                <w:sz w:val="18"/>
              </w:rPr>
            </w:pPr>
            <w:r w:rsidRPr="006C6C4F">
              <w:rPr>
                <w:sz w:val="18"/>
              </w:rPr>
              <w:t>324</w:t>
            </w:r>
          </w:p>
        </w:tc>
        <w:tc>
          <w:tcPr>
            <w:tcW w:w="1292" w:type="pct"/>
            <w:shd w:val="clear" w:color="auto" w:fill="D9D9D9" w:themeFill="background1" w:themeFillShade="D9"/>
          </w:tcPr>
          <w:p w14:paraId="04C4D7B5" w14:textId="77777777" w:rsidR="00EB17A4" w:rsidRPr="006C6C4F" w:rsidRDefault="00EB17A4" w:rsidP="005C109E">
            <w:pPr>
              <w:spacing w:before="0" w:after="0"/>
              <w:jc w:val="both"/>
              <w:rPr>
                <w:sz w:val="18"/>
              </w:rPr>
            </w:pPr>
            <w:r w:rsidRPr="006C6C4F">
              <w:rPr>
                <w:sz w:val="18"/>
              </w:rPr>
              <w:t>Migration Yearbook</w:t>
            </w:r>
            <w:r w:rsidRPr="0008372C">
              <w:rPr>
                <w:rStyle w:val="FootnoteReference"/>
              </w:rPr>
              <w:footnoteReference w:id="143"/>
            </w:r>
          </w:p>
        </w:tc>
      </w:tr>
      <w:tr w:rsidR="00EB17A4" w:rsidRPr="006C6C4F" w14:paraId="61FA2BDB" w14:textId="77777777" w:rsidTr="008B4DE9">
        <w:tc>
          <w:tcPr>
            <w:tcW w:w="439" w:type="pct"/>
            <w:shd w:val="clear" w:color="auto" w:fill="DBE5F1" w:themeFill="accent1" w:themeFillTint="33"/>
          </w:tcPr>
          <w:p w14:paraId="5B5B1F48" w14:textId="77777777" w:rsidR="00EB17A4" w:rsidRPr="00DC1273" w:rsidRDefault="00EB17A4" w:rsidP="005C109E">
            <w:pPr>
              <w:spacing w:before="0" w:after="0"/>
              <w:jc w:val="both"/>
              <w:rPr>
                <w:b/>
                <w:sz w:val="18"/>
              </w:rPr>
            </w:pPr>
            <w:r w:rsidRPr="00DC1273">
              <w:rPr>
                <w:b/>
                <w:sz w:val="18"/>
              </w:rPr>
              <w:t>2015</w:t>
            </w:r>
          </w:p>
        </w:tc>
        <w:tc>
          <w:tcPr>
            <w:tcW w:w="719" w:type="pct"/>
            <w:shd w:val="clear" w:color="auto" w:fill="D9D9D9" w:themeFill="background1" w:themeFillShade="D9"/>
          </w:tcPr>
          <w:p w14:paraId="51CBE648" w14:textId="77777777" w:rsidR="00EB17A4" w:rsidRPr="006C6C4F" w:rsidRDefault="00EB17A4" w:rsidP="005C109E">
            <w:pPr>
              <w:spacing w:before="0" w:after="0"/>
              <w:jc w:val="both"/>
              <w:rPr>
                <w:sz w:val="18"/>
              </w:rPr>
            </w:pPr>
            <w:r w:rsidRPr="006C6C4F">
              <w:rPr>
                <w:sz w:val="18"/>
              </w:rPr>
              <w:t>17 878</w:t>
            </w:r>
          </w:p>
        </w:tc>
        <w:tc>
          <w:tcPr>
            <w:tcW w:w="884" w:type="pct"/>
            <w:shd w:val="clear" w:color="auto" w:fill="D9D9D9" w:themeFill="background1" w:themeFillShade="D9"/>
          </w:tcPr>
          <w:p w14:paraId="164E4781" w14:textId="77777777" w:rsidR="00EB17A4" w:rsidRPr="006C6C4F" w:rsidRDefault="00EB17A4" w:rsidP="005C109E">
            <w:pPr>
              <w:spacing w:before="0" w:after="0"/>
              <w:jc w:val="both"/>
              <w:rPr>
                <w:sz w:val="18"/>
              </w:rPr>
            </w:pPr>
            <w:r w:rsidRPr="006C6C4F">
              <w:rPr>
                <w:sz w:val="18"/>
              </w:rPr>
              <w:t>4 547</w:t>
            </w:r>
          </w:p>
        </w:tc>
        <w:tc>
          <w:tcPr>
            <w:tcW w:w="772" w:type="pct"/>
            <w:shd w:val="clear" w:color="auto" w:fill="D9D9D9" w:themeFill="background1" w:themeFillShade="D9"/>
          </w:tcPr>
          <w:p w14:paraId="5419D031" w14:textId="77777777" w:rsidR="00EB17A4" w:rsidRPr="006C6C4F" w:rsidRDefault="00EB17A4" w:rsidP="005C109E">
            <w:pPr>
              <w:spacing w:before="0" w:after="0"/>
              <w:jc w:val="both"/>
              <w:rPr>
                <w:sz w:val="18"/>
              </w:rPr>
            </w:pPr>
            <w:r w:rsidRPr="006C6C4F">
              <w:rPr>
                <w:sz w:val="18"/>
              </w:rPr>
              <w:t>4 949</w:t>
            </w:r>
          </w:p>
        </w:tc>
        <w:tc>
          <w:tcPr>
            <w:tcW w:w="893" w:type="pct"/>
            <w:shd w:val="clear" w:color="auto" w:fill="D9D9D9" w:themeFill="background1" w:themeFillShade="D9"/>
          </w:tcPr>
          <w:p w14:paraId="7D54C7B5" w14:textId="77777777" w:rsidR="00EB17A4" w:rsidRPr="006C6C4F" w:rsidRDefault="00EB17A4" w:rsidP="005C109E">
            <w:pPr>
              <w:spacing w:before="0" w:after="0"/>
              <w:jc w:val="both"/>
              <w:rPr>
                <w:sz w:val="18"/>
              </w:rPr>
            </w:pPr>
            <w:r w:rsidRPr="006C6C4F">
              <w:rPr>
                <w:sz w:val="18"/>
              </w:rPr>
              <w:t>173</w:t>
            </w:r>
          </w:p>
        </w:tc>
        <w:tc>
          <w:tcPr>
            <w:tcW w:w="1292" w:type="pct"/>
            <w:shd w:val="clear" w:color="auto" w:fill="D9D9D9" w:themeFill="background1" w:themeFillShade="D9"/>
          </w:tcPr>
          <w:p w14:paraId="387E57C6" w14:textId="77777777" w:rsidR="00EB17A4" w:rsidRPr="006C6C4F" w:rsidRDefault="00EB17A4" w:rsidP="005C109E">
            <w:pPr>
              <w:spacing w:before="0" w:after="0"/>
              <w:jc w:val="both"/>
              <w:rPr>
                <w:sz w:val="18"/>
              </w:rPr>
            </w:pPr>
            <w:r w:rsidRPr="006C6C4F">
              <w:rPr>
                <w:sz w:val="18"/>
              </w:rPr>
              <w:t>Migration Yearbook</w:t>
            </w:r>
            <w:r w:rsidRPr="0008372C">
              <w:rPr>
                <w:rStyle w:val="FootnoteReference"/>
              </w:rPr>
              <w:footnoteReference w:id="144"/>
            </w:r>
          </w:p>
        </w:tc>
      </w:tr>
      <w:tr w:rsidR="0008372C" w:rsidRPr="006C6C4F" w14:paraId="13C6854E" w14:textId="77777777" w:rsidTr="008B4DE9">
        <w:tc>
          <w:tcPr>
            <w:tcW w:w="439" w:type="pct"/>
            <w:shd w:val="clear" w:color="auto" w:fill="DBE5F1" w:themeFill="accent1" w:themeFillTint="33"/>
          </w:tcPr>
          <w:p w14:paraId="40949CB7" w14:textId="0ADE4202" w:rsidR="0008372C" w:rsidRPr="00DC1273" w:rsidRDefault="0008372C" w:rsidP="005C109E">
            <w:pPr>
              <w:jc w:val="both"/>
              <w:rPr>
                <w:b/>
                <w:sz w:val="18"/>
              </w:rPr>
            </w:pPr>
            <w:r>
              <w:rPr>
                <w:b/>
                <w:sz w:val="18"/>
              </w:rPr>
              <w:t>2017</w:t>
            </w:r>
          </w:p>
        </w:tc>
        <w:tc>
          <w:tcPr>
            <w:tcW w:w="719" w:type="pct"/>
            <w:shd w:val="clear" w:color="auto" w:fill="D9D9D9" w:themeFill="background1" w:themeFillShade="D9"/>
          </w:tcPr>
          <w:p w14:paraId="204D013C" w14:textId="148195EC" w:rsidR="0008372C" w:rsidRPr="006C6C4F" w:rsidRDefault="0008372C" w:rsidP="005C109E">
            <w:pPr>
              <w:jc w:val="both"/>
              <w:rPr>
                <w:sz w:val="18"/>
              </w:rPr>
            </w:pPr>
            <w:r w:rsidRPr="0008372C">
              <w:rPr>
                <w:sz w:val="18"/>
              </w:rPr>
              <w:t>19 373</w:t>
            </w:r>
          </w:p>
        </w:tc>
        <w:tc>
          <w:tcPr>
            <w:tcW w:w="884" w:type="pct"/>
            <w:shd w:val="clear" w:color="auto" w:fill="D9D9D9" w:themeFill="background1" w:themeFillShade="D9"/>
          </w:tcPr>
          <w:p w14:paraId="45350BBA" w14:textId="5137CFE1" w:rsidR="0008372C" w:rsidRPr="006C6C4F" w:rsidRDefault="0008372C" w:rsidP="005C109E">
            <w:pPr>
              <w:jc w:val="both"/>
              <w:rPr>
                <w:sz w:val="18"/>
              </w:rPr>
            </w:pPr>
            <w:r w:rsidRPr="0008372C">
              <w:rPr>
                <w:sz w:val="18"/>
              </w:rPr>
              <w:t>752</w:t>
            </w:r>
          </w:p>
        </w:tc>
        <w:tc>
          <w:tcPr>
            <w:tcW w:w="772" w:type="pct"/>
            <w:shd w:val="clear" w:color="auto" w:fill="D9D9D9" w:themeFill="background1" w:themeFillShade="D9"/>
          </w:tcPr>
          <w:p w14:paraId="1F0FA980" w14:textId="6E7E2857" w:rsidR="0008372C" w:rsidRPr="006C6C4F" w:rsidRDefault="0008372C" w:rsidP="005C109E">
            <w:pPr>
              <w:jc w:val="both"/>
              <w:rPr>
                <w:sz w:val="18"/>
              </w:rPr>
            </w:pPr>
            <w:r w:rsidRPr="0008372C">
              <w:rPr>
                <w:sz w:val="18"/>
              </w:rPr>
              <w:t>264</w:t>
            </w:r>
          </w:p>
        </w:tc>
        <w:tc>
          <w:tcPr>
            <w:tcW w:w="893" w:type="pct"/>
            <w:shd w:val="clear" w:color="auto" w:fill="D9D9D9" w:themeFill="background1" w:themeFillShade="D9"/>
          </w:tcPr>
          <w:p w14:paraId="36E65F8E" w14:textId="5478FBC9" w:rsidR="0008372C" w:rsidRPr="006C6C4F" w:rsidRDefault="0008372C" w:rsidP="005C109E">
            <w:pPr>
              <w:jc w:val="both"/>
              <w:rPr>
                <w:sz w:val="18"/>
              </w:rPr>
            </w:pPr>
            <w:r>
              <w:rPr>
                <w:sz w:val="18"/>
              </w:rPr>
              <w:t>488</w:t>
            </w:r>
          </w:p>
        </w:tc>
        <w:tc>
          <w:tcPr>
            <w:tcW w:w="1292" w:type="pct"/>
            <w:shd w:val="clear" w:color="auto" w:fill="D9D9D9" w:themeFill="background1" w:themeFillShade="D9"/>
          </w:tcPr>
          <w:p w14:paraId="3EEC8C13" w14:textId="2DAB9B7E" w:rsidR="0008372C" w:rsidRPr="006C6C4F" w:rsidRDefault="0008372C" w:rsidP="005C109E">
            <w:pPr>
              <w:jc w:val="both"/>
              <w:rPr>
                <w:sz w:val="18"/>
              </w:rPr>
            </w:pPr>
            <w:r w:rsidRPr="006C6C4F">
              <w:rPr>
                <w:sz w:val="18"/>
              </w:rPr>
              <w:t>Migration Yearbook</w:t>
            </w:r>
            <w:r w:rsidRPr="00536C48">
              <w:rPr>
                <w:rStyle w:val="FootnoteReference"/>
              </w:rPr>
              <w:footnoteReference w:id="145"/>
            </w:r>
          </w:p>
        </w:tc>
      </w:tr>
    </w:tbl>
    <w:p w14:paraId="14122CFB" w14:textId="171EC756" w:rsidR="00B311A7" w:rsidRDefault="00B311A7" w:rsidP="002636C6">
      <w:pPr>
        <w:pStyle w:val="MBT"/>
        <w:rPr>
          <w:lang w:val="en-GB"/>
        </w:rPr>
      </w:pPr>
    </w:p>
    <w:p w14:paraId="12D1EB50" w14:textId="47FE7308" w:rsidR="009C2C44" w:rsidRDefault="009C2C44" w:rsidP="00AA076C">
      <w:pPr>
        <w:autoSpaceDE w:val="0"/>
        <w:autoSpaceDN w:val="0"/>
        <w:adjustRightInd w:val="0"/>
        <w:jc w:val="both"/>
      </w:pPr>
      <w:r w:rsidRPr="006C6C4F">
        <w:rPr>
          <w:bCs/>
          <w:sz w:val="22"/>
          <w:szCs w:val="22"/>
        </w:rPr>
        <w:t xml:space="preserve">The 2016 Yearbook, </w:t>
      </w:r>
      <w:r w:rsidR="0008372C">
        <w:rPr>
          <w:bCs/>
          <w:sz w:val="22"/>
          <w:szCs w:val="22"/>
        </w:rPr>
        <w:t xml:space="preserve">differently from others, </w:t>
      </w:r>
      <w:r w:rsidRPr="006C6C4F">
        <w:rPr>
          <w:bCs/>
          <w:sz w:val="22"/>
          <w:szCs w:val="22"/>
        </w:rPr>
        <w:t xml:space="preserve">lists separately the decisions made only for </w:t>
      </w:r>
      <w:r>
        <w:rPr>
          <w:bCs/>
          <w:sz w:val="22"/>
          <w:szCs w:val="22"/>
        </w:rPr>
        <w:t>third-country</w:t>
      </w:r>
      <w:r w:rsidRPr="006C6C4F">
        <w:rPr>
          <w:bCs/>
          <w:sz w:val="22"/>
          <w:szCs w:val="22"/>
        </w:rPr>
        <w:t xml:space="preserve"> nationals who </w:t>
      </w:r>
      <w:r w:rsidR="00A443EF">
        <w:rPr>
          <w:bCs/>
          <w:sz w:val="22"/>
          <w:szCs w:val="22"/>
        </w:rPr>
        <w:t xml:space="preserve"> actively participate in a company, including as managers of the enterprise</w:t>
      </w:r>
      <w:r w:rsidRPr="006C6C4F">
        <w:rPr>
          <w:bCs/>
          <w:sz w:val="22"/>
          <w:szCs w:val="22"/>
        </w:rPr>
        <w:t>,</w:t>
      </w:r>
      <w:r w:rsidRPr="0008372C">
        <w:rPr>
          <w:rStyle w:val="FootnoteReference"/>
        </w:rPr>
        <w:footnoteReference w:id="146"/>
      </w:r>
      <w:r w:rsidRPr="006C6C4F">
        <w:rPr>
          <w:bCs/>
          <w:sz w:val="22"/>
          <w:szCs w:val="22"/>
        </w:rPr>
        <w:t xml:space="preserve"> d</w:t>
      </w:r>
      <w:r>
        <w:rPr>
          <w:bCs/>
          <w:sz w:val="22"/>
          <w:szCs w:val="22"/>
        </w:rPr>
        <w:t>istinguishing</w:t>
      </w:r>
      <w:r w:rsidRPr="006C6C4F">
        <w:rPr>
          <w:bCs/>
          <w:sz w:val="22"/>
          <w:szCs w:val="22"/>
        </w:rPr>
        <w:t xml:space="preserve"> them from all </w:t>
      </w:r>
      <w:r w:rsidR="00CA757C">
        <w:rPr>
          <w:bCs/>
          <w:sz w:val="22"/>
          <w:szCs w:val="22"/>
        </w:rPr>
        <w:t xml:space="preserve">other </w:t>
      </w:r>
      <w:r w:rsidRPr="006C6C4F">
        <w:rPr>
          <w:bCs/>
          <w:sz w:val="22"/>
          <w:szCs w:val="22"/>
        </w:rPr>
        <w:t>foreigners carrying o</w:t>
      </w:r>
      <w:r>
        <w:rPr>
          <w:bCs/>
          <w:sz w:val="22"/>
          <w:szCs w:val="22"/>
        </w:rPr>
        <w:t>ut</w:t>
      </w:r>
      <w:r w:rsidRPr="006C6C4F">
        <w:rPr>
          <w:bCs/>
          <w:sz w:val="22"/>
          <w:szCs w:val="22"/>
        </w:rPr>
        <w:t xml:space="preserve"> lawful activities.</w:t>
      </w:r>
      <w:r w:rsidRPr="0008372C">
        <w:rPr>
          <w:rStyle w:val="FootnoteReference"/>
        </w:rPr>
        <w:footnoteReference w:id="147"/>
      </w:r>
      <w:r w:rsidRPr="006C6C4F">
        <w:rPr>
          <w:bCs/>
          <w:sz w:val="22"/>
          <w:szCs w:val="22"/>
        </w:rPr>
        <w:t xml:space="preserve"> This is highlighted in the table below.</w:t>
      </w:r>
      <w:r>
        <w:rPr>
          <w:bCs/>
          <w:sz w:val="22"/>
          <w:szCs w:val="22"/>
        </w:rPr>
        <w:t xml:space="preserve"> </w:t>
      </w:r>
      <w:r w:rsidRPr="006C6C4F">
        <w:rPr>
          <w:bCs/>
          <w:sz w:val="22"/>
          <w:szCs w:val="22"/>
        </w:rPr>
        <w:t>These 2016 figures indicate that most of the persons who were carrying o</w:t>
      </w:r>
      <w:r>
        <w:rPr>
          <w:bCs/>
          <w:sz w:val="22"/>
          <w:szCs w:val="22"/>
        </w:rPr>
        <w:t xml:space="preserve">ut </w:t>
      </w:r>
      <w:r w:rsidRPr="006C6C4F">
        <w:rPr>
          <w:bCs/>
          <w:sz w:val="22"/>
          <w:szCs w:val="22"/>
        </w:rPr>
        <w:t xml:space="preserve">lawful activities did so </w:t>
      </w:r>
      <w:r w:rsidR="00316276">
        <w:rPr>
          <w:bCs/>
          <w:sz w:val="22"/>
          <w:szCs w:val="22"/>
        </w:rPr>
        <w:t>actively participating in a company</w:t>
      </w:r>
      <w:r w:rsidRPr="006C6C4F">
        <w:rPr>
          <w:bCs/>
          <w:sz w:val="22"/>
          <w:szCs w:val="22"/>
        </w:rPr>
        <w:t>: they represented 82% of all successful applicants. This leads to assume that in the previous years</w:t>
      </w:r>
      <w:r w:rsidR="0008372C">
        <w:rPr>
          <w:bCs/>
          <w:sz w:val="22"/>
          <w:szCs w:val="22"/>
        </w:rPr>
        <w:t xml:space="preserve"> and in 2017</w:t>
      </w:r>
      <w:r w:rsidRPr="006C6C4F">
        <w:rPr>
          <w:bCs/>
          <w:sz w:val="22"/>
          <w:szCs w:val="22"/>
        </w:rPr>
        <w:t>, too, this group was the majority in the ‘lawful activities’ category</w:t>
      </w:r>
      <w:r w:rsidR="00B317B3">
        <w:rPr>
          <w:bCs/>
          <w:sz w:val="22"/>
          <w:szCs w:val="22"/>
        </w:rPr>
        <w:t>.</w:t>
      </w:r>
    </w:p>
    <w:p w14:paraId="49FD154E" w14:textId="49923BB8" w:rsidR="00E4636C" w:rsidRDefault="00E4636C" w:rsidP="002636C6">
      <w:pPr>
        <w:pStyle w:val="MBT"/>
        <w:rPr>
          <w:lang w:val="en-GB"/>
        </w:rPr>
      </w:pPr>
    </w:p>
    <w:tbl>
      <w:tblPr>
        <w:tblStyle w:val="TableGrid"/>
        <w:tblW w:w="501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780"/>
        <w:gridCol w:w="1300"/>
        <w:gridCol w:w="1817"/>
        <w:gridCol w:w="1380"/>
        <w:gridCol w:w="1622"/>
        <w:gridCol w:w="2361"/>
      </w:tblGrid>
      <w:tr w:rsidR="00E4636C" w:rsidRPr="006C6C4F" w14:paraId="48767BD9" w14:textId="77777777" w:rsidTr="00536C48">
        <w:tc>
          <w:tcPr>
            <w:tcW w:w="421" w:type="pct"/>
            <w:shd w:val="clear" w:color="auto" w:fill="95B3D7" w:themeFill="accent1" w:themeFillTint="99"/>
            <w:vAlign w:val="center"/>
          </w:tcPr>
          <w:p w14:paraId="4089D719" w14:textId="77777777" w:rsidR="00E4636C" w:rsidRPr="006C6C4F" w:rsidRDefault="00E4636C" w:rsidP="005C109E">
            <w:pPr>
              <w:jc w:val="center"/>
              <w:rPr>
                <w:rFonts w:ascii="Century Gothic" w:hAnsi="Century Gothic"/>
                <w:b/>
                <w:sz w:val="18"/>
              </w:rPr>
            </w:pPr>
            <w:r w:rsidRPr="006C6C4F">
              <w:rPr>
                <w:rFonts w:ascii="Century Gothic" w:hAnsi="Century Gothic"/>
                <w:b/>
                <w:sz w:val="18"/>
              </w:rPr>
              <w:t>Year</w:t>
            </w:r>
          </w:p>
        </w:tc>
        <w:tc>
          <w:tcPr>
            <w:tcW w:w="702" w:type="pct"/>
            <w:shd w:val="clear" w:color="auto" w:fill="95B3D7" w:themeFill="accent1" w:themeFillTint="99"/>
            <w:vAlign w:val="center"/>
          </w:tcPr>
          <w:p w14:paraId="030DAE61" w14:textId="77777777" w:rsidR="00E4636C" w:rsidRPr="006C6C4F" w:rsidRDefault="00E4636C" w:rsidP="005C109E">
            <w:pPr>
              <w:jc w:val="center"/>
              <w:rPr>
                <w:rFonts w:ascii="Century Gothic" w:hAnsi="Century Gothic"/>
                <w:b/>
                <w:sz w:val="18"/>
              </w:rPr>
            </w:pPr>
            <w:r w:rsidRPr="006C6C4F">
              <w:rPr>
                <w:rFonts w:ascii="Century Gothic" w:hAnsi="Century Gothic"/>
                <w:b/>
                <w:sz w:val="18"/>
              </w:rPr>
              <w:t>Total no. of requests for residence</w:t>
            </w:r>
          </w:p>
        </w:tc>
        <w:tc>
          <w:tcPr>
            <w:tcW w:w="981" w:type="pct"/>
            <w:shd w:val="clear" w:color="auto" w:fill="95B3D7" w:themeFill="accent1" w:themeFillTint="99"/>
            <w:vAlign w:val="center"/>
          </w:tcPr>
          <w:p w14:paraId="3EE77FFA" w14:textId="078FDB8B" w:rsidR="00E4636C" w:rsidRPr="006C6C4F" w:rsidRDefault="00E4636C" w:rsidP="00A443EF">
            <w:pPr>
              <w:jc w:val="center"/>
              <w:rPr>
                <w:rFonts w:ascii="Century Gothic" w:hAnsi="Century Gothic"/>
                <w:b/>
                <w:sz w:val="18"/>
              </w:rPr>
            </w:pPr>
            <w:r w:rsidRPr="006C6C4F">
              <w:rPr>
                <w:rFonts w:ascii="Century Gothic" w:hAnsi="Century Gothic"/>
                <w:b/>
                <w:sz w:val="18"/>
              </w:rPr>
              <w:t>No. of requests for residence</w:t>
            </w:r>
            <w:r w:rsidR="009C2C44">
              <w:rPr>
                <w:rFonts w:ascii="Century Gothic" w:hAnsi="Century Gothic"/>
                <w:b/>
                <w:sz w:val="18"/>
              </w:rPr>
              <w:t xml:space="preserve"> (</w:t>
            </w:r>
            <w:r w:rsidR="00A443EF">
              <w:rPr>
                <w:rFonts w:ascii="Century Gothic" w:hAnsi="Century Gothic"/>
                <w:b/>
                <w:sz w:val="18"/>
              </w:rPr>
              <w:t>foreigners participating in a company</w:t>
            </w:r>
            <w:r w:rsidR="009C2C44">
              <w:rPr>
                <w:rFonts w:ascii="Century Gothic" w:hAnsi="Century Gothic"/>
                <w:b/>
                <w:sz w:val="18"/>
              </w:rPr>
              <w:t>)</w:t>
            </w:r>
          </w:p>
        </w:tc>
        <w:tc>
          <w:tcPr>
            <w:tcW w:w="745" w:type="pct"/>
            <w:shd w:val="clear" w:color="auto" w:fill="95B3D7" w:themeFill="accent1" w:themeFillTint="99"/>
            <w:vAlign w:val="center"/>
          </w:tcPr>
          <w:p w14:paraId="52257143" w14:textId="77777777" w:rsidR="00E4636C" w:rsidRPr="006C6C4F" w:rsidRDefault="00E4636C" w:rsidP="005C109E">
            <w:pPr>
              <w:jc w:val="center"/>
              <w:rPr>
                <w:rFonts w:ascii="Century Gothic" w:hAnsi="Century Gothic"/>
                <w:b/>
                <w:sz w:val="18"/>
              </w:rPr>
            </w:pPr>
            <w:r w:rsidRPr="006C6C4F">
              <w:rPr>
                <w:rFonts w:ascii="Century Gothic" w:hAnsi="Century Gothic"/>
                <w:b/>
                <w:sz w:val="18"/>
              </w:rPr>
              <w:t>No. of successful applications</w:t>
            </w:r>
          </w:p>
        </w:tc>
        <w:tc>
          <w:tcPr>
            <w:tcW w:w="876" w:type="pct"/>
            <w:shd w:val="clear" w:color="auto" w:fill="95B3D7" w:themeFill="accent1" w:themeFillTint="99"/>
            <w:vAlign w:val="center"/>
          </w:tcPr>
          <w:p w14:paraId="01770736" w14:textId="77777777" w:rsidR="00E4636C" w:rsidRPr="006C6C4F" w:rsidRDefault="00E4636C" w:rsidP="005C109E">
            <w:pPr>
              <w:jc w:val="center"/>
              <w:rPr>
                <w:rFonts w:ascii="Century Gothic" w:hAnsi="Century Gothic"/>
                <w:b/>
                <w:sz w:val="18"/>
              </w:rPr>
            </w:pPr>
            <w:r w:rsidRPr="006C6C4F">
              <w:rPr>
                <w:rFonts w:ascii="Century Gothic" w:hAnsi="Century Gothic"/>
                <w:b/>
                <w:sz w:val="18"/>
              </w:rPr>
              <w:t>No. of turned down applications</w:t>
            </w:r>
          </w:p>
        </w:tc>
        <w:tc>
          <w:tcPr>
            <w:tcW w:w="1275" w:type="pct"/>
            <w:shd w:val="clear" w:color="auto" w:fill="95B3D7" w:themeFill="accent1" w:themeFillTint="99"/>
            <w:vAlign w:val="center"/>
          </w:tcPr>
          <w:p w14:paraId="4E5C5D5C" w14:textId="77777777" w:rsidR="00E4636C" w:rsidRPr="006C6C4F" w:rsidRDefault="00E4636C" w:rsidP="005C109E">
            <w:pPr>
              <w:jc w:val="center"/>
              <w:rPr>
                <w:rFonts w:ascii="Century Gothic" w:hAnsi="Century Gothic"/>
                <w:b/>
                <w:sz w:val="18"/>
              </w:rPr>
            </w:pPr>
            <w:r w:rsidRPr="006C6C4F">
              <w:rPr>
                <w:rFonts w:ascii="Century Gothic" w:hAnsi="Century Gothic"/>
                <w:b/>
                <w:sz w:val="18"/>
              </w:rPr>
              <w:t>Sources</w:t>
            </w:r>
          </w:p>
        </w:tc>
      </w:tr>
      <w:tr w:rsidR="00E4636C" w:rsidRPr="006C6C4F" w14:paraId="4878585F" w14:textId="77777777" w:rsidTr="00536C48">
        <w:tc>
          <w:tcPr>
            <w:tcW w:w="421" w:type="pct"/>
            <w:shd w:val="clear" w:color="auto" w:fill="DBE5F1" w:themeFill="accent1" w:themeFillTint="33"/>
          </w:tcPr>
          <w:p w14:paraId="28A09C64" w14:textId="77777777" w:rsidR="00E4636C" w:rsidRPr="005C109E" w:rsidRDefault="00E4636C" w:rsidP="00E4636C">
            <w:pPr>
              <w:jc w:val="both"/>
              <w:rPr>
                <w:rFonts w:ascii="Century Gothic" w:hAnsi="Century Gothic"/>
                <w:b/>
                <w:sz w:val="18"/>
              </w:rPr>
            </w:pPr>
            <w:r w:rsidRPr="005C109E">
              <w:rPr>
                <w:rFonts w:ascii="Century Gothic" w:hAnsi="Century Gothic"/>
                <w:b/>
                <w:sz w:val="18"/>
              </w:rPr>
              <w:t>2016</w:t>
            </w:r>
          </w:p>
        </w:tc>
        <w:tc>
          <w:tcPr>
            <w:tcW w:w="702" w:type="pct"/>
            <w:shd w:val="clear" w:color="auto" w:fill="D9D9D9" w:themeFill="background1" w:themeFillShade="D9"/>
          </w:tcPr>
          <w:p w14:paraId="349C70EF" w14:textId="77777777" w:rsidR="00E4636C" w:rsidRPr="006C6C4F" w:rsidRDefault="00E4636C" w:rsidP="00E4636C">
            <w:pPr>
              <w:jc w:val="both"/>
              <w:rPr>
                <w:rFonts w:ascii="Century Gothic" w:hAnsi="Century Gothic"/>
                <w:sz w:val="18"/>
              </w:rPr>
            </w:pPr>
            <w:r w:rsidRPr="006C6C4F">
              <w:rPr>
                <w:rFonts w:ascii="Century Gothic" w:hAnsi="Century Gothic"/>
                <w:sz w:val="18"/>
              </w:rPr>
              <w:t>15 987</w:t>
            </w:r>
          </w:p>
        </w:tc>
        <w:tc>
          <w:tcPr>
            <w:tcW w:w="981" w:type="pct"/>
            <w:shd w:val="clear" w:color="auto" w:fill="D9D9D9" w:themeFill="background1" w:themeFillShade="D9"/>
          </w:tcPr>
          <w:p w14:paraId="70A55B09" w14:textId="34E60A9C" w:rsidR="00E4636C" w:rsidRPr="00AA076C" w:rsidRDefault="00E4636C" w:rsidP="00316276">
            <w:pPr>
              <w:jc w:val="both"/>
              <w:rPr>
                <w:rFonts w:ascii="Century Gothic" w:hAnsi="Century Gothic"/>
                <w:sz w:val="18"/>
              </w:rPr>
            </w:pPr>
            <w:r w:rsidRPr="00AA076C">
              <w:rPr>
                <w:rFonts w:ascii="Century Gothic" w:hAnsi="Century Gothic"/>
                <w:sz w:val="18"/>
              </w:rPr>
              <w:t xml:space="preserve">2 </w:t>
            </w:r>
            <w:r w:rsidR="00316276">
              <w:rPr>
                <w:rFonts w:ascii="Century Gothic" w:hAnsi="Century Gothic"/>
                <w:sz w:val="18"/>
              </w:rPr>
              <w:t>487</w:t>
            </w:r>
          </w:p>
        </w:tc>
        <w:tc>
          <w:tcPr>
            <w:tcW w:w="745" w:type="pct"/>
            <w:shd w:val="clear" w:color="auto" w:fill="D9D9D9" w:themeFill="background1" w:themeFillShade="D9"/>
          </w:tcPr>
          <w:p w14:paraId="12A25CC9" w14:textId="7831D577" w:rsidR="00E4636C" w:rsidRPr="00AA076C" w:rsidRDefault="00E4636C" w:rsidP="00316276">
            <w:pPr>
              <w:jc w:val="both"/>
              <w:rPr>
                <w:rFonts w:ascii="Century Gothic" w:hAnsi="Century Gothic"/>
                <w:sz w:val="18"/>
              </w:rPr>
            </w:pPr>
            <w:r w:rsidRPr="00AA076C">
              <w:rPr>
                <w:rFonts w:ascii="Century Gothic" w:hAnsi="Century Gothic"/>
                <w:sz w:val="18"/>
              </w:rPr>
              <w:t xml:space="preserve">2 </w:t>
            </w:r>
            <w:r w:rsidR="00316276" w:rsidRPr="00AA076C">
              <w:rPr>
                <w:rFonts w:ascii="Century Gothic" w:hAnsi="Century Gothic"/>
                <w:sz w:val="18"/>
              </w:rPr>
              <w:t>2</w:t>
            </w:r>
            <w:r w:rsidR="00316276">
              <w:rPr>
                <w:rFonts w:ascii="Century Gothic" w:hAnsi="Century Gothic"/>
                <w:sz w:val="18"/>
              </w:rPr>
              <w:t>58</w:t>
            </w:r>
          </w:p>
        </w:tc>
        <w:tc>
          <w:tcPr>
            <w:tcW w:w="876" w:type="pct"/>
            <w:shd w:val="clear" w:color="auto" w:fill="D9D9D9" w:themeFill="background1" w:themeFillShade="D9"/>
          </w:tcPr>
          <w:p w14:paraId="79CE4FE0" w14:textId="77777777" w:rsidR="00E4636C" w:rsidRPr="00AA076C" w:rsidRDefault="00E4636C" w:rsidP="00E4636C">
            <w:pPr>
              <w:jc w:val="both"/>
              <w:rPr>
                <w:rFonts w:ascii="Century Gothic" w:hAnsi="Century Gothic"/>
                <w:sz w:val="18"/>
              </w:rPr>
            </w:pPr>
            <w:r w:rsidRPr="00AA076C">
              <w:rPr>
                <w:rFonts w:ascii="Century Gothic" w:hAnsi="Century Gothic"/>
                <w:sz w:val="18"/>
              </w:rPr>
              <w:t>229</w:t>
            </w:r>
          </w:p>
        </w:tc>
        <w:tc>
          <w:tcPr>
            <w:tcW w:w="1275" w:type="pct"/>
            <w:shd w:val="clear" w:color="auto" w:fill="D9D9D9" w:themeFill="background1" w:themeFillShade="D9"/>
          </w:tcPr>
          <w:p w14:paraId="7ADB41CD" w14:textId="77777777" w:rsidR="00E4636C" w:rsidRPr="006C6C4F" w:rsidRDefault="00E4636C" w:rsidP="00E4636C">
            <w:pPr>
              <w:jc w:val="both"/>
              <w:rPr>
                <w:rFonts w:ascii="Century Gothic" w:hAnsi="Century Gothic"/>
                <w:sz w:val="18"/>
              </w:rPr>
            </w:pPr>
            <w:r w:rsidRPr="006C6C4F">
              <w:rPr>
                <w:rFonts w:ascii="Century Gothic" w:hAnsi="Century Gothic"/>
                <w:sz w:val="18"/>
              </w:rPr>
              <w:t>Migration Yearbook</w:t>
            </w:r>
            <w:r w:rsidRPr="0008372C">
              <w:rPr>
                <w:rStyle w:val="FootnoteReference"/>
              </w:rPr>
              <w:footnoteReference w:id="148"/>
            </w:r>
          </w:p>
        </w:tc>
      </w:tr>
    </w:tbl>
    <w:p w14:paraId="0A09E31B" w14:textId="77777777" w:rsidR="00E4636C" w:rsidRPr="006C6C4F" w:rsidRDefault="00E4636C" w:rsidP="002636C6">
      <w:pPr>
        <w:pStyle w:val="MBT"/>
        <w:rPr>
          <w:lang w:val="en-GB"/>
        </w:rPr>
      </w:pPr>
    </w:p>
    <w:p w14:paraId="70619CBD" w14:textId="66DE45AA" w:rsidR="00312A63" w:rsidRDefault="00312A63" w:rsidP="002636C6">
      <w:pPr>
        <w:pStyle w:val="MBT"/>
        <w:rPr>
          <w:lang w:val="en-GB"/>
        </w:rPr>
      </w:pPr>
      <w:r>
        <w:rPr>
          <w:lang w:val="en-GB"/>
        </w:rPr>
        <w:t>The 2017 data show</w:t>
      </w:r>
      <w:r w:rsidR="00D00309">
        <w:rPr>
          <w:lang w:val="en-GB"/>
        </w:rPr>
        <w:t>s</w:t>
      </w:r>
      <w:r>
        <w:rPr>
          <w:lang w:val="en-GB"/>
        </w:rPr>
        <w:t xml:space="preserve"> not only that the applications dramatically decreased, but also that their success rate drop</w:t>
      </w:r>
      <w:r w:rsidR="00D00309">
        <w:rPr>
          <w:lang w:val="en-GB"/>
        </w:rPr>
        <w:t>ped</w:t>
      </w:r>
      <w:r>
        <w:rPr>
          <w:lang w:val="en-GB"/>
        </w:rPr>
        <w:t xml:space="preserve"> to 35%, which is the lowest </w:t>
      </w:r>
      <w:r w:rsidR="00D00309">
        <w:rPr>
          <w:lang w:val="en-GB"/>
        </w:rPr>
        <w:t>in the reporting period</w:t>
      </w:r>
      <w:r>
        <w:rPr>
          <w:lang w:val="en-GB"/>
        </w:rPr>
        <w:t xml:space="preserve">. </w:t>
      </w:r>
    </w:p>
    <w:p w14:paraId="7604F5F1" w14:textId="49CA2184" w:rsidR="00F30B0C" w:rsidRDefault="00F30B0C" w:rsidP="002636C6">
      <w:pPr>
        <w:pStyle w:val="MBT"/>
        <w:rPr>
          <w:lang w:val="en-GB"/>
        </w:rPr>
      </w:pPr>
    </w:p>
    <w:p w14:paraId="5E7718ED" w14:textId="2620AE9E" w:rsidR="00E55782" w:rsidRDefault="00E5385B" w:rsidP="002636C6">
      <w:pPr>
        <w:pStyle w:val="MBT"/>
        <w:rPr>
          <w:lang w:val="en-GB"/>
        </w:rPr>
      </w:pPr>
      <w:r>
        <w:rPr>
          <w:lang w:val="en-GB"/>
        </w:rPr>
        <w:t>The Yearbook</w:t>
      </w:r>
      <w:r w:rsidR="00127048">
        <w:rPr>
          <w:lang w:val="en-GB"/>
        </w:rPr>
        <w:t>s</w:t>
      </w:r>
      <w:r>
        <w:rPr>
          <w:lang w:val="en-GB"/>
        </w:rPr>
        <w:t xml:space="preserve"> </w:t>
      </w:r>
      <w:r w:rsidR="00D00309">
        <w:rPr>
          <w:lang w:val="en-GB"/>
        </w:rPr>
        <w:t xml:space="preserve">also </w:t>
      </w:r>
      <w:r w:rsidR="00127048">
        <w:rPr>
          <w:lang w:val="en-GB"/>
        </w:rPr>
        <w:t>include</w:t>
      </w:r>
      <w:r>
        <w:rPr>
          <w:lang w:val="en-GB"/>
        </w:rPr>
        <w:t xml:space="preserve"> the number</w:t>
      </w:r>
      <w:r w:rsidR="0070431E">
        <w:rPr>
          <w:lang w:val="en-GB"/>
        </w:rPr>
        <w:t>s</w:t>
      </w:r>
      <w:r>
        <w:rPr>
          <w:lang w:val="en-GB"/>
        </w:rPr>
        <w:t xml:space="preserve"> of </w:t>
      </w:r>
      <w:r w:rsidR="00C736F8">
        <w:t>annulled</w:t>
      </w:r>
      <w:r w:rsidR="00C736F8" w:rsidRPr="006C6C4F">
        <w:t>/withdrawn</w:t>
      </w:r>
      <w:r w:rsidR="00C736F8">
        <w:rPr>
          <w:lang w:val="en-GB"/>
        </w:rPr>
        <w:t xml:space="preserve"> </w:t>
      </w:r>
      <w:r>
        <w:rPr>
          <w:lang w:val="en-GB"/>
        </w:rPr>
        <w:t>TRPs</w:t>
      </w:r>
      <w:r w:rsidR="00C736F8">
        <w:rPr>
          <w:lang w:val="en-GB"/>
        </w:rPr>
        <w:t>, highlighting the unprecedented ‘crack-down’ on fictitious companies in 2017</w:t>
      </w:r>
      <w:r w:rsidR="00E55782">
        <w:rPr>
          <w:lang w:val="en-GB"/>
        </w:rPr>
        <w:t>:</w:t>
      </w:r>
      <w:r w:rsidR="00E55782">
        <w:rPr>
          <w:rStyle w:val="FootnoteReference"/>
          <w:lang w:val="en-GB"/>
        </w:rPr>
        <w:footnoteReference w:id="149"/>
      </w:r>
    </w:p>
    <w:p w14:paraId="4BE7502D" w14:textId="77777777" w:rsidR="00E55782" w:rsidRDefault="00E55782" w:rsidP="002636C6">
      <w:pPr>
        <w:pStyle w:val="MBT"/>
        <w:rPr>
          <w:lang w:val="en-GB"/>
        </w:rPr>
      </w:pPr>
    </w:p>
    <w:tbl>
      <w:tblPr>
        <w:tblStyle w:val="TableGrid"/>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firstRow="1" w:lastRow="0" w:firstColumn="1" w:lastColumn="0" w:noHBand="0" w:noVBand="1"/>
      </w:tblPr>
      <w:tblGrid>
        <w:gridCol w:w="4907"/>
        <w:gridCol w:w="725"/>
        <w:gridCol w:w="725"/>
        <w:gridCol w:w="784"/>
        <w:gridCol w:w="667"/>
        <w:gridCol w:w="715"/>
        <w:gridCol w:w="719"/>
      </w:tblGrid>
      <w:tr w:rsidR="00127048" w:rsidRPr="006C6C4F" w14:paraId="78060841" w14:textId="77777777" w:rsidTr="008B4DE9">
        <w:trPr>
          <w:tblHeader/>
        </w:trPr>
        <w:tc>
          <w:tcPr>
            <w:tcW w:w="2655" w:type="pct"/>
            <w:shd w:val="clear" w:color="auto" w:fill="95B3D7" w:themeFill="accent1" w:themeFillTint="99"/>
            <w:vAlign w:val="center"/>
          </w:tcPr>
          <w:p w14:paraId="52403CF2" w14:textId="44DA3311" w:rsidR="00127048" w:rsidRPr="006C6C4F" w:rsidRDefault="00127048" w:rsidP="00127048">
            <w:pPr>
              <w:jc w:val="center"/>
              <w:rPr>
                <w:rFonts w:ascii="Century Gothic" w:hAnsi="Century Gothic"/>
                <w:b/>
                <w:sz w:val="18"/>
              </w:rPr>
            </w:pPr>
            <w:r>
              <w:rPr>
                <w:rFonts w:ascii="Century Gothic" w:hAnsi="Century Gothic"/>
                <w:b/>
                <w:sz w:val="18"/>
              </w:rPr>
              <w:t xml:space="preserve">Grounds for </w:t>
            </w:r>
            <w:r w:rsidRPr="00C736F8">
              <w:rPr>
                <w:rFonts w:ascii="Century Gothic" w:hAnsi="Century Gothic"/>
                <w:b/>
                <w:sz w:val="18"/>
              </w:rPr>
              <w:t xml:space="preserve">annulment/withdrawal </w:t>
            </w:r>
            <w:r>
              <w:rPr>
                <w:rFonts w:ascii="Century Gothic" w:hAnsi="Century Gothic"/>
                <w:b/>
                <w:sz w:val="18"/>
              </w:rPr>
              <w:t>of TRPs</w:t>
            </w:r>
          </w:p>
        </w:tc>
        <w:tc>
          <w:tcPr>
            <w:tcW w:w="392" w:type="pct"/>
            <w:shd w:val="clear" w:color="auto" w:fill="95B3D7" w:themeFill="accent1" w:themeFillTint="99"/>
            <w:vAlign w:val="center"/>
          </w:tcPr>
          <w:p w14:paraId="2CC77F83" w14:textId="682358FF" w:rsidR="00127048" w:rsidRDefault="00127048" w:rsidP="00127048">
            <w:pPr>
              <w:jc w:val="center"/>
              <w:rPr>
                <w:rFonts w:ascii="Century Gothic" w:hAnsi="Century Gothic"/>
                <w:b/>
                <w:sz w:val="18"/>
              </w:rPr>
            </w:pPr>
            <w:r>
              <w:rPr>
                <w:rFonts w:ascii="Century Gothic" w:hAnsi="Century Gothic"/>
                <w:b/>
                <w:sz w:val="18"/>
              </w:rPr>
              <w:t>2012</w:t>
            </w:r>
          </w:p>
        </w:tc>
        <w:tc>
          <w:tcPr>
            <w:tcW w:w="392" w:type="pct"/>
            <w:shd w:val="clear" w:color="auto" w:fill="95B3D7" w:themeFill="accent1" w:themeFillTint="99"/>
            <w:vAlign w:val="center"/>
          </w:tcPr>
          <w:p w14:paraId="056F02EF" w14:textId="3AFA29FF" w:rsidR="00127048" w:rsidRPr="006C6C4F" w:rsidRDefault="00127048" w:rsidP="00127048">
            <w:pPr>
              <w:jc w:val="center"/>
              <w:rPr>
                <w:rFonts w:ascii="Century Gothic" w:hAnsi="Century Gothic"/>
                <w:b/>
                <w:sz w:val="18"/>
              </w:rPr>
            </w:pPr>
            <w:r>
              <w:rPr>
                <w:rFonts w:ascii="Century Gothic" w:hAnsi="Century Gothic"/>
                <w:b/>
                <w:sz w:val="18"/>
              </w:rPr>
              <w:t>2013</w:t>
            </w:r>
          </w:p>
        </w:tc>
        <w:tc>
          <w:tcPr>
            <w:tcW w:w="424" w:type="pct"/>
            <w:shd w:val="clear" w:color="auto" w:fill="95B3D7" w:themeFill="accent1" w:themeFillTint="99"/>
            <w:vAlign w:val="center"/>
          </w:tcPr>
          <w:p w14:paraId="0ED03756" w14:textId="5B550FB6" w:rsidR="00127048" w:rsidRPr="006C6C4F" w:rsidRDefault="00127048" w:rsidP="00127048">
            <w:pPr>
              <w:jc w:val="center"/>
              <w:rPr>
                <w:rFonts w:ascii="Century Gothic" w:hAnsi="Century Gothic"/>
                <w:b/>
                <w:sz w:val="18"/>
              </w:rPr>
            </w:pPr>
            <w:r>
              <w:rPr>
                <w:rFonts w:ascii="Century Gothic" w:hAnsi="Century Gothic"/>
                <w:b/>
                <w:sz w:val="18"/>
              </w:rPr>
              <w:t>2014</w:t>
            </w:r>
          </w:p>
        </w:tc>
        <w:tc>
          <w:tcPr>
            <w:tcW w:w="361" w:type="pct"/>
            <w:shd w:val="clear" w:color="auto" w:fill="95B3D7" w:themeFill="accent1" w:themeFillTint="99"/>
            <w:vAlign w:val="center"/>
          </w:tcPr>
          <w:p w14:paraId="64E78DAB" w14:textId="48A68D93" w:rsidR="00127048" w:rsidRPr="006C6C4F" w:rsidRDefault="00127048" w:rsidP="00127048">
            <w:pPr>
              <w:jc w:val="center"/>
              <w:rPr>
                <w:rFonts w:ascii="Century Gothic" w:hAnsi="Century Gothic"/>
                <w:b/>
                <w:sz w:val="18"/>
              </w:rPr>
            </w:pPr>
            <w:r>
              <w:rPr>
                <w:rFonts w:ascii="Century Gothic" w:hAnsi="Century Gothic"/>
                <w:b/>
                <w:sz w:val="18"/>
              </w:rPr>
              <w:t>2015</w:t>
            </w:r>
          </w:p>
        </w:tc>
        <w:tc>
          <w:tcPr>
            <w:tcW w:w="387" w:type="pct"/>
            <w:shd w:val="clear" w:color="auto" w:fill="95B3D7" w:themeFill="accent1" w:themeFillTint="99"/>
            <w:vAlign w:val="center"/>
          </w:tcPr>
          <w:p w14:paraId="2232D880" w14:textId="3B100E85" w:rsidR="00127048" w:rsidRPr="006C6C4F" w:rsidRDefault="00127048" w:rsidP="00127048">
            <w:pPr>
              <w:jc w:val="center"/>
              <w:rPr>
                <w:rFonts w:ascii="Century Gothic" w:hAnsi="Century Gothic"/>
                <w:b/>
                <w:sz w:val="18"/>
              </w:rPr>
            </w:pPr>
            <w:r>
              <w:rPr>
                <w:rFonts w:ascii="Century Gothic" w:hAnsi="Century Gothic"/>
                <w:b/>
                <w:sz w:val="18"/>
              </w:rPr>
              <w:t>2016</w:t>
            </w:r>
          </w:p>
        </w:tc>
        <w:tc>
          <w:tcPr>
            <w:tcW w:w="390" w:type="pct"/>
            <w:shd w:val="clear" w:color="auto" w:fill="95B3D7" w:themeFill="accent1" w:themeFillTint="99"/>
            <w:vAlign w:val="center"/>
          </w:tcPr>
          <w:p w14:paraId="13A87840" w14:textId="07724DC9" w:rsidR="00127048" w:rsidRPr="006C6C4F" w:rsidRDefault="00127048" w:rsidP="00127048">
            <w:pPr>
              <w:jc w:val="center"/>
              <w:rPr>
                <w:rFonts w:ascii="Century Gothic" w:hAnsi="Century Gothic"/>
                <w:b/>
                <w:sz w:val="18"/>
              </w:rPr>
            </w:pPr>
            <w:r>
              <w:rPr>
                <w:rFonts w:ascii="Century Gothic" w:hAnsi="Century Gothic"/>
                <w:b/>
                <w:sz w:val="18"/>
              </w:rPr>
              <w:t>2017</w:t>
            </w:r>
          </w:p>
        </w:tc>
      </w:tr>
      <w:tr w:rsidR="00127048" w:rsidRPr="006C6C4F" w14:paraId="0DEAF49E" w14:textId="77777777" w:rsidTr="00942FA3">
        <w:tc>
          <w:tcPr>
            <w:tcW w:w="2655" w:type="pct"/>
            <w:shd w:val="clear" w:color="auto" w:fill="DBE5F1" w:themeFill="accent1" w:themeFillTint="33"/>
          </w:tcPr>
          <w:p w14:paraId="1A15DFFE" w14:textId="4ED7A975" w:rsidR="00127048" w:rsidRPr="00536C48" w:rsidRDefault="00127048" w:rsidP="00127048">
            <w:pPr>
              <w:rPr>
                <w:rFonts w:ascii="Century Gothic" w:hAnsi="Century Gothic"/>
                <w:sz w:val="18"/>
              </w:rPr>
            </w:pPr>
            <w:r w:rsidRPr="00536C48">
              <w:rPr>
                <w:rFonts w:ascii="Century Gothic" w:hAnsi="Century Gothic"/>
                <w:sz w:val="18"/>
              </w:rPr>
              <w:t xml:space="preserve">Where </w:t>
            </w:r>
            <w:r>
              <w:rPr>
                <w:rFonts w:ascii="Century Gothic" w:hAnsi="Century Gothic"/>
                <w:sz w:val="18"/>
              </w:rPr>
              <w:t xml:space="preserve">it transpires that a company, enterprise or organisation that the foreigner owns did not carry out the declared business activities and/or the foreigner’s residence in Lithuania is not necessary for not carrying out the declared business activities and its purposes. </w:t>
            </w:r>
          </w:p>
        </w:tc>
        <w:tc>
          <w:tcPr>
            <w:tcW w:w="392" w:type="pct"/>
            <w:shd w:val="clear" w:color="auto" w:fill="D9D9D9" w:themeFill="background1" w:themeFillShade="D9"/>
          </w:tcPr>
          <w:p w14:paraId="76AC4081" w14:textId="712DC245" w:rsidR="00127048" w:rsidRPr="00942FA3" w:rsidRDefault="00127048" w:rsidP="00127048">
            <w:pPr>
              <w:jc w:val="center"/>
              <w:rPr>
                <w:rFonts w:ascii="Century Gothic" w:hAnsi="Century Gothic"/>
                <w:sz w:val="18"/>
              </w:rPr>
            </w:pPr>
            <w:r w:rsidRPr="00942FA3">
              <w:rPr>
                <w:rFonts w:ascii="Century Gothic" w:hAnsi="Century Gothic"/>
                <w:sz w:val="18"/>
              </w:rPr>
              <w:t>3</w:t>
            </w:r>
          </w:p>
        </w:tc>
        <w:tc>
          <w:tcPr>
            <w:tcW w:w="392" w:type="pct"/>
            <w:shd w:val="clear" w:color="auto" w:fill="D9D9D9" w:themeFill="background1" w:themeFillShade="D9"/>
          </w:tcPr>
          <w:p w14:paraId="543EDF66" w14:textId="2705D7A2" w:rsidR="00127048" w:rsidRPr="006C6C4F" w:rsidRDefault="00127048" w:rsidP="00127048">
            <w:pPr>
              <w:jc w:val="both"/>
              <w:rPr>
                <w:rFonts w:ascii="Century Gothic" w:hAnsi="Century Gothic"/>
                <w:sz w:val="18"/>
              </w:rPr>
            </w:pPr>
            <w:r>
              <w:rPr>
                <w:rFonts w:ascii="Century Gothic" w:hAnsi="Century Gothic"/>
                <w:sz w:val="18"/>
              </w:rPr>
              <w:t>24</w:t>
            </w:r>
          </w:p>
        </w:tc>
        <w:tc>
          <w:tcPr>
            <w:tcW w:w="424" w:type="pct"/>
            <w:shd w:val="clear" w:color="auto" w:fill="D9D9D9" w:themeFill="background1" w:themeFillShade="D9"/>
          </w:tcPr>
          <w:p w14:paraId="0B0D3AE1" w14:textId="09285D70" w:rsidR="00127048" w:rsidRPr="00AA076C" w:rsidRDefault="00127048" w:rsidP="00127048">
            <w:pPr>
              <w:jc w:val="both"/>
              <w:rPr>
                <w:rFonts w:ascii="Century Gothic" w:hAnsi="Century Gothic"/>
                <w:sz w:val="18"/>
              </w:rPr>
            </w:pPr>
            <w:r>
              <w:rPr>
                <w:rFonts w:ascii="Century Gothic" w:hAnsi="Century Gothic"/>
                <w:sz w:val="18"/>
              </w:rPr>
              <w:t>22</w:t>
            </w:r>
          </w:p>
        </w:tc>
        <w:tc>
          <w:tcPr>
            <w:tcW w:w="361" w:type="pct"/>
            <w:shd w:val="clear" w:color="auto" w:fill="D9D9D9" w:themeFill="background1" w:themeFillShade="D9"/>
          </w:tcPr>
          <w:p w14:paraId="15986FA8" w14:textId="6670749C" w:rsidR="00127048" w:rsidRPr="00AA076C" w:rsidRDefault="00127048" w:rsidP="00127048">
            <w:pPr>
              <w:jc w:val="both"/>
              <w:rPr>
                <w:rFonts w:ascii="Century Gothic" w:hAnsi="Century Gothic"/>
                <w:sz w:val="18"/>
              </w:rPr>
            </w:pPr>
            <w:r>
              <w:rPr>
                <w:rFonts w:ascii="Century Gothic" w:hAnsi="Century Gothic"/>
                <w:sz w:val="18"/>
              </w:rPr>
              <w:t>2</w:t>
            </w:r>
          </w:p>
        </w:tc>
        <w:tc>
          <w:tcPr>
            <w:tcW w:w="387" w:type="pct"/>
            <w:shd w:val="clear" w:color="auto" w:fill="D9D9D9" w:themeFill="background1" w:themeFillShade="D9"/>
          </w:tcPr>
          <w:p w14:paraId="14003010" w14:textId="6575001E" w:rsidR="00127048" w:rsidRPr="00AA076C" w:rsidRDefault="00127048" w:rsidP="00127048">
            <w:pPr>
              <w:jc w:val="both"/>
              <w:rPr>
                <w:rFonts w:ascii="Century Gothic" w:hAnsi="Century Gothic"/>
                <w:sz w:val="18"/>
              </w:rPr>
            </w:pPr>
            <w:r>
              <w:rPr>
                <w:rFonts w:ascii="Century Gothic" w:hAnsi="Century Gothic"/>
                <w:sz w:val="18"/>
              </w:rPr>
              <w:t>-</w:t>
            </w:r>
          </w:p>
        </w:tc>
        <w:tc>
          <w:tcPr>
            <w:tcW w:w="390" w:type="pct"/>
            <w:shd w:val="clear" w:color="auto" w:fill="D9D9D9" w:themeFill="background1" w:themeFillShade="D9"/>
          </w:tcPr>
          <w:p w14:paraId="664099D8" w14:textId="5C5E1551" w:rsidR="00127048" w:rsidRPr="006C6C4F" w:rsidRDefault="00127048" w:rsidP="00127048">
            <w:pPr>
              <w:jc w:val="both"/>
              <w:rPr>
                <w:rFonts w:ascii="Century Gothic" w:hAnsi="Century Gothic"/>
                <w:sz w:val="18"/>
              </w:rPr>
            </w:pPr>
            <w:r>
              <w:rPr>
                <w:rFonts w:ascii="Century Gothic" w:hAnsi="Century Gothic"/>
                <w:sz w:val="18"/>
              </w:rPr>
              <w:t>-</w:t>
            </w:r>
          </w:p>
        </w:tc>
      </w:tr>
      <w:tr w:rsidR="00127048" w:rsidRPr="006C6C4F" w14:paraId="03508DA3" w14:textId="77777777" w:rsidTr="00942FA3">
        <w:tc>
          <w:tcPr>
            <w:tcW w:w="2655" w:type="pct"/>
            <w:shd w:val="clear" w:color="auto" w:fill="DBE5F1" w:themeFill="accent1" w:themeFillTint="33"/>
          </w:tcPr>
          <w:p w14:paraId="726A3541" w14:textId="428CC0F9" w:rsidR="00127048" w:rsidRPr="003B5087" w:rsidRDefault="00127048" w:rsidP="00127048">
            <w:pPr>
              <w:rPr>
                <w:rFonts w:ascii="Century Gothic" w:hAnsi="Century Gothic"/>
                <w:sz w:val="18"/>
              </w:rPr>
            </w:pPr>
            <w:r w:rsidRPr="00B346A9">
              <w:rPr>
                <w:rFonts w:ascii="Century Gothic" w:hAnsi="Century Gothic"/>
                <w:sz w:val="18"/>
              </w:rPr>
              <w:t xml:space="preserve">Where </w:t>
            </w:r>
            <w:r>
              <w:rPr>
                <w:rFonts w:ascii="Century Gothic" w:hAnsi="Century Gothic"/>
                <w:sz w:val="18"/>
              </w:rPr>
              <w:t xml:space="preserve">it transpires that the receiving company, enterprise or organisation registered in Lithuania to which a foreigner was transferred or which they own or manage is </w:t>
            </w:r>
            <w:bookmarkStart w:id="36" w:name="_Hlk517213959"/>
            <w:r>
              <w:rPr>
                <w:rFonts w:ascii="Century Gothic" w:hAnsi="Century Gothic"/>
                <w:sz w:val="18"/>
              </w:rPr>
              <w:t xml:space="preserve">fictitious; or the foreigner does not meet the grounds for residence outlined in Articles 45.1(1), </w:t>
            </w:r>
            <w:r>
              <w:rPr>
                <w:rFonts w:ascii="Century Gothic" w:hAnsi="Century Gothic"/>
                <w:sz w:val="18"/>
              </w:rPr>
              <w:lastRenderedPageBreak/>
              <w:t xml:space="preserve">41.1(21), 41.1(22) LSSA; or if a foreigner is no longer the manager of the enterprise; or no longer owns </w:t>
            </w:r>
            <w:r w:rsidRPr="00BD54E4">
              <w:rPr>
                <w:rFonts w:ascii="Century Gothic" w:hAnsi="Century Gothic"/>
                <w:sz w:val="18"/>
              </w:rPr>
              <w:t>at least one third of the nominal value of the registered share capital in a joint stock company</w:t>
            </w:r>
            <w:bookmarkEnd w:id="36"/>
            <w:r w:rsidRPr="00BD54E4">
              <w:rPr>
                <w:rFonts w:ascii="Century Gothic" w:hAnsi="Century Gothic"/>
                <w:sz w:val="18"/>
              </w:rPr>
              <w:t>.</w:t>
            </w:r>
          </w:p>
        </w:tc>
        <w:tc>
          <w:tcPr>
            <w:tcW w:w="392" w:type="pct"/>
            <w:shd w:val="clear" w:color="auto" w:fill="D9D9D9" w:themeFill="background1" w:themeFillShade="D9"/>
          </w:tcPr>
          <w:p w14:paraId="5C716D55" w14:textId="2D9C4A3B" w:rsidR="00127048" w:rsidRPr="00942FA3" w:rsidRDefault="00127048" w:rsidP="00942FA3">
            <w:pPr>
              <w:rPr>
                <w:rFonts w:ascii="Century Gothic" w:hAnsi="Century Gothic"/>
                <w:sz w:val="18"/>
              </w:rPr>
            </w:pPr>
            <w:r w:rsidRPr="00942FA3">
              <w:rPr>
                <w:rFonts w:ascii="Century Gothic" w:hAnsi="Century Gothic"/>
                <w:sz w:val="18"/>
              </w:rPr>
              <w:lastRenderedPageBreak/>
              <w:t>-</w:t>
            </w:r>
          </w:p>
        </w:tc>
        <w:tc>
          <w:tcPr>
            <w:tcW w:w="392" w:type="pct"/>
            <w:shd w:val="clear" w:color="auto" w:fill="D9D9D9" w:themeFill="background1" w:themeFillShade="D9"/>
          </w:tcPr>
          <w:p w14:paraId="6F89E75C" w14:textId="52147C41" w:rsidR="00127048" w:rsidRPr="006C6C4F" w:rsidRDefault="00127048" w:rsidP="00127048">
            <w:pPr>
              <w:jc w:val="both"/>
              <w:rPr>
                <w:rFonts w:ascii="Century Gothic" w:hAnsi="Century Gothic"/>
                <w:sz w:val="18"/>
              </w:rPr>
            </w:pPr>
            <w:r>
              <w:rPr>
                <w:rFonts w:ascii="Century Gothic" w:hAnsi="Century Gothic"/>
                <w:sz w:val="18"/>
              </w:rPr>
              <w:t>-</w:t>
            </w:r>
          </w:p>
        </w:tc>
        <w:tc>
          <w:tcPr>
            <w:tcW w:w="424" w:type="pct"/>
            <w:shd w:val="clear" w:color="auto" w:fill="D9D9D9" w:themeFill="background1" w:themeFillShade="D9"/>
          </w:tcPr>
          <w:p w14:paraId="187DB23B" w14:textId="2345898A" w:rsidR="00127048" w:rsidRPr="00AA076C" w:rsidRDefault="00127048" w:rsidP="00127048">
            <w:pPr>
              <w:jc w:val="both"/>
              <w:rPr>
                <w:rFonts w:ascii="Century Gothic" w:hAnsi="Century Gothic"/>
                <w:sz w:val="18"/>
              </w:rPr>
            </w:pPr>
            <w:r>
              <w:rPr>
                <w:rFonts w:ascii="Century Gothic" w:hAnsi="Century Gothic"/>
                <w:sz w:val="18"/>
              </w:rPr>
              <w:t>-</w:t>
            </w:r>
          </w:p>
        </w:tc>
        <w:tc>
          <w:tcPr>
            <w:tcW w:w="361" w:type="pct"/>
            <w:shd w:val="clear" w:color="auto" w:fill="D9D9D9" w:themeFill="background1" w:themeFillShade="D9"/>
          </w:tcPr>
          <w:p w14:paraId="292B3403" w14:textId="1F1607FE" w:rsidR="00127048" w:rsidRPr="00AA076C" w:rsidRDefault="00127048" w:rsidP="00127048">
            <w:pPr>
              <w:jc w:val="both"/>
              <w:rPr>
                <w:rFonts w:ascii="Century Gothic" w:hAnsi="Century Gothic"/>
                <w:sz w:val="18"/>
              </w:rPr>
            </w:pPr>
            <w:r>
              <w:rPr>
                <w:rFonts w:ascii="Century Gothic" w:hAnsi="Century Gothic"/>
                <w:sz w:val="18"/>
              </w:rPr>
              <w:t>5</w:t>
            </w:r>
          </w:p>
        </w:tc>
        <w:tc>
          <w:tcPr>
            <w:tcW w:w="387" w:type="pct"/>
            <w:shd w:val="clear" w:color="auto" w:fill="D9D9D9" w:themeFill="background1" w:themeFillShade="D9"/>
          </w:tcPr>
          <w:p w14:paraId="797721DD" w14:textId="425CD587" w:rsidR="00127048" w:rsidRPr="00AA076C" w:rsidRDefault="00127048" w:rsidP="00127048">
            <w:pPr>
              <w:jc w:val="both"/>
              <w:rPr>
                <w:rFonts w:ascii="Century Gothic" w:hAnsi="Century Gothic"/>
                <w:sz w:val="18"/>
              </w:rPr>
            </w:pPr>
            <w:r>
              <w:rPr>
                <w:rFonts w:ascii="Century Gothic" w:hAnsi="Century Gothic"/>
                <w:sz w:val="18"/>
              </w:rPr>
              <w:t>93</w:t>
            </w:r>
          </w:p>
        </w:tc>
        <w:tc>
          <w:tcPr>
            <w:tcW w:w="390" w:type="pct"/>
            <w:shd w:val="clear" w:color="auto" w:fill="D9D9D9" w:themeFill="background1" w:themeFillShade="D9"/>
          </w:tcPr>
          <w:p w14:paraId="6A5B2620" w14:textId="52968A84" w:rsidR="00127048" w:rsidRPr="006C6C4F" w:rsidRDefault="00127048" w:rsidP="00127048">
            <w:pPr>
              <w:jc w:val="both"/>
              <w:rPr>
                <w:rFonts w:ascii="Century Gothic" w:hAnsi="Century Gothic"/>
                <w:sz w:val="18"/>
              </w:rPr>
            </w:pPr>
            <w:r>
              <w:rPr>
                <w:rFonts w:ascii="Century Gothic" w:hAnsi="Century Gothic"/>
                <w:sz w:val="18"/>
              </w:rPr>
              <w:t>607</w:t>
            </w:r>
          </w:p>
        </w:tc>
      </w:tr>
      <w:tr w:rsidR="00127048" w:rsidRPr="006C6C4F" w14:paraId="7A81B91F" w14:textId="77777777" w:rsidTr="00942FA3">
        <w:tc>
          <w:tcPr>
            <w:tcW w:w="2655" w:type="pct"/>
            <w:shd w:val="clear" w:color="auto" w:fill="B8CCE4" w:themeFill="accent1" w:themeFillTint="66"/>
          </w:tcPr>
          <w:p w14:paraId="5676043D" w14:textId="03E90C1C" w:rsidR="00127048" w:rsidRPr="00BD54E4" w:rsidRDefault="00127048" w:rsidP="00127048">
            <w:pPr>
              <w:jc w:val="both"/>
              <w:rPr>
                <w:rFonts w:ascii="Century Gothic" w:hAnsi="Century Gothic"/>
                <w:b/>
                <w:sz w:val="18"/>
              </w:rPr>
            </w:pPr>
            <w:r w:rsidRPr="00BD54E4">
              <w:rPr>
                <w:rFonts w:ascii="Century Gothic" w:hAnsi="Century Gothic"/>
                <w:b/>
                <w:sz w:val="18"/>
              </w:rPr>
              <w:lastRenderedPageBreak/>
              <w:t>Total</w:t>
            </w:r>
          </w:p>
        </w:tc>
        <w:tc>
          <w:tcPr>
            <w:tcW w:w="392" w:type="pct"/>
            <w:shd w:val="clear" w:color="auto" w:fill="B8CCE4" w:themeFill="accent1" w:themeFillTint="66"/>
          </w:tcPr>
          <w:p w14:paraId="68787266" w14:textId="5A99B755" w:rsidR="00127048" w:rsidRPr="00C736F8" w:rsidRDefault="00127048" w:rsidP="00127048">
            <w:pPr>
              <w:jc w:val="both"/>
              <w:rPr>
                <w:rFonts w:ascii="Century Gothic" w:hAnsi="Century Gothic"/>
                <w:b/>
                <w:sz w:val="18"/>
              </w:rPr>
            </w:pPr>
            <w:r>
              <w:rPr>
                <w:rFonts w:ascii="Century Gothic" w:hAnsi="Century Gothic"/>
                <w:b/>
                <w:sz w:val="18"/>
              </w:rPr>
              <w:t>3</w:t>
            </w:r>
          </w:p>
        </w:tc>
        <w:tc>
          <w:tcPr>
            <w:tcW w:w="392" w:type="pct"/>
            <w:shd w:val="clear" w:color="auto" w:fill="B8CCE4" w:themeFill="accent1" w:themeFillTint="66"/>
          </w:tcPr>
          <w:p w14:paraId="088D8B67" w14:textId="63C89A84" w:rsidR="00127048" w:rsidRPr="00C736F8" w:rsidRDefault="00127048" w:rsidP="00127048">
            <w:pPr>
              <w:jc w:val="both"/>
              <w:rPr>
                <w:rFonts w:ascii="Century Gothic" w:hAnsi="Century Gothic"/>
                <w:b/>
                <w:sz w:val="18"/>
              </w:rPr>
            </w:pPr>
            <w:r w:rsidRPr="00C736F8">
              <w:rPr>
                <w:rFonts w:ascii="Century Gothic" w:hAnsi="Century Gothic"/>
                <w:b/>
                <w:sz w:val="18"/>
              </w:rPr>
              <w:t>24</w:t>
            </w:r>
          </w:p>
        </w:tc>
        <w:tc>
          <w:tcPr>
            <w:tcW w:w="424" w:type="pct"/>
            <w:shd w:val="clear" w:color="auto" w:fill="B8CCE4" w:themeFill="accent1" w:themeFillTint="66"/>
          </w:tcPr>
          <w:p w14:paraId="3929AFD5" w14:textId="5FCA5731" w:rsidR="00127048" w:rsidRPr="00C736F8" w:rsidRDefault="00127048" w:rsidP="00127048">
            <w:pPr>
              <w:jc w:val="both"/>
              <w:rPr>
                <w:rFonts w:ascii="Century Gothic" w:hAnsi="Century Gothic"/>
                <w:b/>
                <w:sz w:val="18"/>
              </w:rPr>
            </w:pPr>
            <w:r w:rsidRPr="00C736F8">
              <w:rPr>
                <w:rFonts w:ascii="Century Gothic" w:hAnsi="Century Gothic"/>
                <w:b/>
                <w:sz w:val="18"/>
              </w:rPr>
              <w:t>22</w:t>
            </w:r>
          </w:p>
        </w:tc>
        <w:tc>
          <w:tcPr>
            <w:tcW w:w="361" w:type="pct"/>
            <w:shd w:val="clear" w:color="auto" w:fill="B8CCE4" w:themeFill="accent1" w:themeFillTint="66"/>
          </w:tcPr>
          <w:p w14:paraId="0F4B47D0" w14:textId="09544FD7" w:rsidR="00127048" w:rsidRPr="00C736F8" w:rsidRDefault="00127048" w:rsidP="00127048">
            <w:pPr>
              <w:jc w:val="both"/>
              <w:rPr>
                <w:rFonts w:ascii="Century Gothic" w:hAnsi="Century Gothic"/>
                <w:b/>
                <w:sz w:val="18"/>
              </w:rPr>
            </w:pPr>
            <w:r w:rsidRPr="00C736F8">
              <w:rPr>
                <w:rFonts w:ascii="Century Gothic" w:hAnsi="Century Gothic"/>
                <w:b/>
                <w:sz w:val="18"/>
              </w:rPr>
              <w:t>7</w:t>
            </w:r>
          </w:p>
        </w:tc>
        <w:tc>
          <w:tcPr>
            <w:tcW w:w="387" w:type="pct"/>
            <w:shd w:val="clear" w:color="auto" w:fill="B8CCE4" w:themeFill="accent1" w:themeFillTint="66"/>
          </w:tcPr>
          <w:p w14:paraId="560EAA56" w14:textId="143B7542" w:rsidR="00127048" w:rsidRPr="00C736F8" w:rsidRDefault="00127048" w:rsidP="00127048">
            <w:pPr>
              <w:jc w:val="both"/>
              <w:rPr>
                <w:rFonts w:ascii="Century Gothic" w:hAnsi="Century Gothic"/>
                <w:b/>
                <w:sz w:val="18"/>
              </w:rPr>
            </w:pPr>
            <w:r w:rsidRPr="00C736F8">
              <w:rPr>
                <w:rFonts w:ascii="Century Gothic" w:hAnsi="Century Gothic"/>
                <w:b/>
                <w:sz w:val="18"/>
              </w:rPr>
              <w:t>93</w:t>
            </w:r>
          </w:p>
        </w:tc>
        <w:tc>
          <w:tcPr>
            <w:tcW w:w="390" w:type="pct"/>
            <w:shd w:val="clear" w:color="auto" w:fill="B8CCE4" w:themeFill="accent1" w:themeFillTint="66"/>
          </w:tcPr>
          <w:p w14:paraId="0BA992CA" w14:textId="70FDB156" w:rsidR="00127048" w:rsidRPr="00C736F8" w:rsidRDefault="00127048" w:rsidP="00127048">
            <w:pPr>
              <w:jc w:val="both"/>
              <w:rPr>
                <w:rFonts w:ascii="Century Gothic" w:hAnsi="Century Gothic"/>
                <w:b/>
                <w:sz w:val="18"/>
              </w:rPr>
            </w:pPr>
            <w:r w:rsidRPr="00C736F8">
              <w:rPr>
                <w:rFonts w:ascii="Century Gothic" w:hAnsi="Century Gothic"/>
                <w:b/>
                <w:sz w:val="18"/>
              </w:rPr>
              <w:t>606</w:t>
            </w:r>
          </w:p>
        </w:tc>
      </w:tr>
    </w:tbl>
    <w:p w14:paraId="6A74A47C" w14:textId="71835CEB" w:rsidR="00E5385B" w:rsidRPr="006C6C4F" w:rsidRDefault="00E5385B" w:rsidP="002636C6">
      <w:pPr>
        <w:pStyle w:val="MBT"/>
        <w:rPr>
          <w:lang w:val="en-GB"/>
        </w:rPr>
      </w:pPr>
    </w:p>
    <w:p w14:paraId="375C152A" w14:textId="77777777" w:rsidR="0072345C" w:rsidRPr="006C6C4F" w:rsidRDefault="0072345C" w:rsidP="002636C6">
      <w:pPr>
        <w:pStyle w:val="MBT"/>
        <w:rPr>
          <w:i/>
          <w:lang w:val="en-GB"/>
        </w:rPr>
      </w:pPr>
    </w:p>
    <w:p w14:paraId="62A4B469" w14:textId="77777777" w:rsidR="003B25FE" w:rsidRPr="006C6C4F" w:rsidRDefault="003B25FE" w:rsidP="003B25FE">
      <w:pPr>
        <w:pStyle w:val="MH2"/>
        <w:spacing w:after="0"/>
        <w:outlineLvl w:val="9"/>
      </w:pPr>
      <w:bookmarkStart w:id="37" w:name="_Toc379109061"/>
      <w:r w:rsidRPr="006C6C4F">
        <w:t>Information on applications by family Members</w:t>
      </w:r>
      <w:bookmarkEnd w:id="37"/>
    </w:p>
    <w:p w14:paraId="63AA1D46" w14:textId="77777777" w:rsidR="001E281D" w:rsidRPr="006C6C4F" w:rsidRDefault="001E281D" w:rsidP="001E281D">
      <w:pPr>
        <w:pStyle w:val="MBT"/>
        <w:rPr>
          <w:lang w:val="en-GB"/>
        </w:rPr>
      </w:pPr>
    </w:p>
    <w:p w14:paraId="1031ED4F" w14:textId="77777777" w:rsidR="007C5D25" w:rsidRPr="006C6C4F" w:rsidRDefault="001E281D" w:rsidP="00E178B3">
      <w:pPr>
        <w:pStyle w:val="ListParagraph"/>
        <w:numPr>
          <w:ilvl w:val="0"/>
          <w:numId w:val="5"/>
        </w:numPr>
        <w:ind w:left="720" w:hanging="360"/>
        <w:rPr>
          <w:i/>
        </w:rPr>
      </w:pPr>
      <w:r w:rsidRPr="00E178B3">
        <w:rPr>
          <w:i/>
        </w:rPr>
        <w:t>Measures</w:t>
      </w:r>
      <w:r w:rsidRPr="006C6C4F">
        <w:rPr>
          <w:i/>
        </w:rPr>
        <w:t xml:space="preserve"> concerning </w:t>
      </w:r>
      <w:r w:rsidRPr="006C6C4F">
        <w:rPr>
          <w:b/>
          <w:i/>
        </w:rPr>
        <w:t>residence permits granted to family members</w:t>
      </w:r>
    </w:p>
    <w:p w14:paraId="6669B23C" w14:textId="77777777" w:rsidR="007C5D25" w:rsidRPr="006C6C4F" w:rsidRDefault="007C5D25" w:rsidP="007C5D25">
      <w:pPr>
        <w:pStyle w:val="MMultilevel"/>
        <w:rPr>
          <w:i/>
          <w:lang w:val="en-GB"/>
        </w:rPr>
      </w:pPr>
    </w:p>
    <w:p w14:paraId="7FE78D05" w14:textId="7ECAC65D" w:rsidR="00BF3891" w:rsidRPr="006C6C4F" w:rsidRDefault="007C5D25" w:rsidP="007C5D25">
      <w:pPr>
        <w:pStyle w:val="MMultilevel"/>
        <w:rPr>
          <w:lang w:val="en-GB"/>
        </w:rPr>
      </w:pPr>
      <w:r w:rsidRPr="006C6C4F">
        <w:rPr>
          <w:lang w:val="en-GB"/>
        </w:rPr>
        <w:t>When applying for temporary residence, foreign investors can b</w:t>
      </w:r>
      <w:r w:rsidR="00AA7553" w:rsidRPr="006C6C4F">
        <w:rPr>
          <w:lang w:val="en-GB"/>
        </w:rPr>
        <w:t>ring their family to Lithuania</w:t>
      </w:r>
      <w:r w:rsidRPr="006C6C4F">
        <w:rPr>
          <w:lang w:val="en-GB"/>
        </w:rPr>
        <w:t>,</w:t>
      </w:r>
      <w:r w:rsidR="00AA7553" w:rsidRPr="0008372C">
        <w:rPr>
          <w:rStyle w:val="FootnoteReference"/>
        </w:rPr>
        <w:footnoteReference w:id="150"/>
      </w:r>
      <w:r w:rsidRPr="006C6C4F">
        <w:rPr>
          <w:lang w:val="en-GB"/>
        </w:rPr>
        <w:t xml:space="preserve"> or their family can arrive later,</w:t>
      </w:r>
      <w:r w:rsidR="00AA7553" w:rsidRPr="006C6C4F">
        <w:rPr>
          <w:lang w:val="en-GB"/>
        </w:rPr>
        <w:t xml:space="preserve"> based on family reunification</w:t>
      </w:r>
      <w:r w:rsidRPr="006C6C4F">
        <w:rPr>
          <w:lang w:val="en-GB"/>
        </w:rPr>
        <w:t>.</w:t>
      </w:r>
      <w:r w:rsidR="00AA7553" w:rsidRPr="0008372C">
        <w:rPr>
          <w:rStyle w:val="FootnoteReference"/>
        </w:rPr>
        <w:footnoteReference w:id="151"/>
      </w:r>
      <w:r w:rsidRPr="006C6C4F">
        <w:rPr>
          <w:lang w:val="en-GB"/>
        </w:rPr>
        <w:t xml:space="preserve"> </w:t>
      </w:r>
      <w:r w:rsidR="00840A71" w:rsidRPr="006C6C4F">
        <w:rPr>
          <w:lang w:val="en-GB"/>
        </w:rPr>
        <w:t xml:space="preserve">The </w:t>
      </w:r>
      <w:r w:rsidR="00B14CF8" w:rsidRPr="006C6C4F">
        <w:rPr>
          <w:lang w:val="en-GB"/>
        </w:rPr>
        <w:t xml:space="preserve">new </w:t>
      </w:r>
      <w:r w:rsidR="00840A71" w:rsidRPr="006C6C4F">
        <w:rPr>
          <w:lang w:val="en-GB"/>
        </w:rPr>
        <w:t xml:space="preserve">rules to accommodate family members </w:t>
      </w:r>
      <w:r w:rsidR="00B14CF8" w:rsidRPr="006C6C4F">
        <w:rPr>
          <w:lang w:val="en-GB"/>
        </w:rPr>
        <w:t xml:space="preserve">took effect </w:t>
      </w:r>
      <w:r w:rsidR="00486890" w:rsidRPr="006C6C4F">
        <w:rPr>
          <w:lang w:val="en-GB"/>
        </w:rPr>
        <w:t>from</w:t>
      </w:r>
      <w:r w:rsidR="00302153" w:rsidRPr="006C6C4F">
        <w:rPr>
          <w:lang w:val="en-GB"/>
        </w:rPr>
        <w:t xml:space="preserve"> 2017</w:t>
      </w:r>
      <w:r w:rsidR="00840A71" w:rsidRPr="006C6C4F">
        <w:rPr>
          <w:lang w:val="en-GB"/>
        </w:rPr>
        <w:t>,</w:t>
      </w:r>
      <w:r w:rsidR="00DA17A7" w:rsidRPr="004C4CE9">
        <w:rPr>
          <w:rStyle w:val="FootnoteReference"/>
        </w:rPr>
        <w:footnoteReference w:id="152"/>
      </w:r>
      <w:r w:rsidR="00840A71" w:rsidRPr="006C6C4F">
        <w:rPr>
          <w:lang w:val="en-GB"/>
        </w:rPr>
        <w:t xml:space="preserve"> as a reaction to calls from </w:t>
      </w:r>
      <w:r w:rsidR="00DF45E1" w:rsidRPr="006C6C4F">
        <w:rPr>
          <w:lang w:val="en-GB"/>
        </w:rPr>
        <w:t xml:space="preserve">smaller </w:t>
      </w:r>
      <w:r w:rsidR="00840A71" w:rsidRPr="006C6C4F">
        <w:rPr>
          <w:lang w:val="en-GB"/>
        </w:rPr>
        <w:t xml:space="preserve">foreign investors to improve </w:t>
      </w:r>
      <w:r w:rsidR="00DF45E1" w:rsidRPr="006C6C4F">
        <w:rPr>
          <w:lang w:val="en-GB"/>
        </w:rPr>
        <w:t xml:space="preserve">flexibility allowing to </w:t>
      </w:r>
      <w:r w:rsidR="00EB17A4">
        <w:rPr>
          <w:lang w:val="en-GB"/>
        </w:rPr>
        <w:t xml:space="preserve">be accompanied by their </w:t>
      </w:r>
      <w:r w:rsidR="00DF45E1" w:rsidRPr="006C6C4F">
        <w:rPr>
          <w:lang w:val="en-GB"/>
        </w:rPr>
        <w:t>famil</w:t>
      </w:r>
      <w:r w:rsidR="00EB17A4">
        <w:rPr>
          <w:lang w:val="en-GB"/>
        </w:rPr>
        <w:t>y members</w:t>
      </w:r>
      <w:r w:rsidR="00840A71" w:rsidRPr="006C6C4F">
        <w:rPr>
          <w:lang w:val="en-GB"/>
        </w:rPr>
        <w:t>.</w:t>
      </w:r>
      <w:r w:rsidR="00DF45E1" w:rsidRPr="004C4CE9">
        <w:rPr>
          <w:rStyle w:val="FootnoteReference"/>
        </w:rPr>
        <w:footnoteReference w:id="153"/>
      </w:r>
    </w:p>
    <w:p w14:paraId="711A083A" w14:textId="77777777" w:rsidR="00BF3891" w:rsidRPr="006C6C4F" w:rsidRDefault="00BF3891" w:rsidP="007C5D25">
      <w:pPr>
        <w:pStyle w:val="MMultilevel"/>
        <w:rPr>
          <w:lang w:val="en-GB"/>
        </w:rPr>
      </w:pPr>
    </w:p>
    <w:p w14:paraId="0EBA8C63" w14:textId="1D03DC39" w:rsidR="007C5D25" w:rsidRPr="006C6C4F" w:rsidRDefault="009E4D51" w:rsidP="007C5D25">
      <w:pPr>
        <w:pStyle w:val="MMultilevel"/>
        <w:rPr>
          <w:lang w:val="en-GB"/>
        </w:rPr>
      </w:pPr>
      <w:r w:rsidRPr="006C6C4F">
        <w:rPr>
          <w:lang w:val="en-GB"/>
        </w:rPr>
        <w:t>The</w:t>
      </w:r>
      <w:r w:rsidR="00D66EB8" w:rsidRPr="006C6C4F">
        <w:rPr>
          <w:lang w:val="en-GB"/>
        </w:rPr>
        <w:t xml:space="preserve"> time</w:t>
      </w:r>
      <w:r w:rsidRPr="006C6C4F">
        <w:rPr>
          <w:lang w:val="en-GB"/>
        </w:rPr>
        <w:t xml:space="preserve"> term to assess the foreigner investor’s application for</w:t>
      </w:r>
      <w:r w:rsidR="00F031DA">
        <w:rPr>
          <w:lang w:val="en-GB"/>
        </w:rPr>
        <w:t xml:space="preserve"> a</w:t>
      </w:r>
      <w:r w:rsidRPr="006C6C4F">
        <w:rPr>
          <w:lang w:val="en-GB"/>
        </w:rPr>
        <w:t xml:space="preserve"> TRP is the same</w:t>
      </w:r>
      <w:r w:rsidR="00F031DA">
        <w:rPr>
          <w:lang w:val="en-GB"/>
        </w:rPr>
        <w:t xml:space="preserve"> as</w:t>
      </w:r>
      <w:r w:rsidRPr="006C6C4F">
        <w:rPr>
          <w:lang w:val="en-GB"/>
        </w:rPr>
        <w:t xml:space="preserve"> for the applications from their family members (2 months).</w:t>
      </w:r>
      <w:r w:rsidRPr="00A36FFC">
        <w:rPr>
          <w:rStyle w:val="FootnoteReference"/>
        </w:rPr>
        <w:footnoteReference w:id="154"/>
      </w:r>
      <w:r w:rsidR="0092574D" w:rsidRPr="006C6C4F">
        <w:rPr>
          <w:lang w:val="en-GB"/>
        </w:rPr>
        <w:t xml:space="preserve"> </w:t>
      </w:r>
      <w:r w:rsidR="00D24077" w:rsidRPr="006C6C4F">
        <w:rPr>
          <w:lang w:val="en-GB"/>
        </w:rPr>
        <w:t xml:space="preserve">If </w:t>
      </w:r>
      <w:r w:rsidR="00F031DA">
        <w:rPr>
          <w:lang w:val="en-GB"/>
        </w:rPr>
        <w:t xml:space="preserve">the </w:t>
      </w:r>
      <w:r w:rsidR="00D24077" w:rsidRPr="006C6C4F">
        <w:rPr>
          <w:lang w:val="en-GB"/>
        </w:rPr>
        <w:t>TRP application is successful, the foreign i</w:t>
      </w:r>
      <w:r w:rsidR="00BF3891" w:rsidRPr="006C6C4F">
        <w:rPr>
          <w:lang w:val="en-GB"/>
        </w:rPr>
        <w:t>nvestors’</w:t>
      </w:r>
      <w:r w:rsidR="007C5D25" w:rsidRPr="006C6C4F">
        <w:rPr>
          <w:lang w:val="en-GB"/>
        </w:rPr>
        <w:t xml:space="preserve"> family members would receive the </w:t>
      </w:r>
      <w:r w:rsidR="00F031DA">
        <w:rPr>
          <w:lang w:val="en-GB"/>
        </w:rPr>
        <w:t>TRP within</w:t>
      </w:r>
      <w:r w:rsidR="007C5D25" w:rsidRPr="006C6C4F">
        <w:rPr>
          <w:lang w:val="en-GB"/>
        </w:rPr>
        <w:t xml:space="preserve"> the same length as the investor.</w:t>
      </w:r>
      <w:r w:rsidR="00AA7553" w:rsidRPr="00A36FFC">
        <w:rPr>
          <w:rStyle w:val="FootnoteReference"/>
        </w:rPr>
        <w:footnoteReference w:id="155"/>
      </w:r>
      <w:r w:rsidR="00D16BDF" w:rsidRPr="006C6C4F">
        <w:rPr>
          <w:lang w:val="en-GB"/>
        </w:rPr>
        <w:t xml:space="preserve"> </w:t>
      </w:r>
      <w:r w:rsidR="005F38DE" w:rsidRPr="006C6C4F">
        <w:rPr>
          <w:lang w:val="en-GB"/>
        </w:rPr>
        <w:t>Similarly, if the foreign investor’s issued TRP is invalidated, the permits of their family members are invalidated</w:t>
      </w:r>
      <w:r w:rsidR="00F031DA">
        <w:rPr>
          <w:lang w:val="en-GB"/>
        </w:rPr>
        <w:t xml:space="preserve"> as well</w:t>
      </w:r>
      <w:r w:rsidR="005F38DE" w:rsidRPr="006C6C4F">
        <w:rPr>
          <w:lang w:val="en-GB"/>
        </w:rPr>
        <w:t>.</w:t>
      </w:r>
      <w:r w:rsidR="005F38DE" w:rsidRPr="00A36FFC">
        <w:rPr>
          <w:rStyle w:val="FootnoteReference"/>
        </w:rPr>
        <w:footnoteReference w:id="156"/>
      </w:r>
    </w:p>
    <w:p w14:paraId="25A87A6C" w14:textId="77777777" w:rsidR="007C5D25" w:rsidRPr="006C6C4F" w:rsidRDefault="007C5D25" w:rsidP="007C5D25">
      <w:pPr>
        <w:pStyle w:val="MMultilevel"/>
        <w:rPr>
          <w:lang w:val="en-GB"/>
        </w:rPr>
      </w:pPr>
    </w:p>
    <w:p w14:paraId="4B6D4D83" w14:textId="63416765" w:rsidR="007C5D25" w:rsidRPr="006C6C4F" w:rsidRDefault="00F031DA" w:rsidP="007C5D25">
      <w:pPr>
        <w:pStyle w:val="MMultilevel"/>
        <w:rPr>
          <w:lang w:val="en-GB"/>
        </w:rPr>
      </w:pPr>
      <w:r>
        <w:rPr>
          <w:lang w:val="en-GB"/>
        </w:rPr>
        <w:t>F</w:t>
      </w:r>
      <w:r w:rsidR="007C5D25" w:rsidRPr="006C6C4F">
        <w:rPr>
          <w:lang w:val="en-GB"/>
        </w:rPr>
        <w:t xml:space="preserve">amily reunification rules for foreign investors holding </w:t>
      </w:r>
      <w:r>
        <w:rPr>
          <w:lang w:val="en-GB"/>
        </w:rPr>
        <w:t>TRPs</w:t>
      </w:r>
      <w:r w:rsidR="007C5D25" w:rsidRPr="006C6C4F">
        <w:rPr>
          <w:lang w:val="en-GB"/>
        </w:rPr>
        <w:t xml:space="preserve"> are more generous, as compared to other third-country nationals: the requirements for de facto residence (two years) and legal temporary residence (one year) and the prospect for permanent residence are waived.</w:t>
      </w:r>
      <w:r w:rsidR="007C5D25" w:rsidRPr="00A36FFC">
        <w:rPr>
          <w:rStyle w:val="FootnoteReference"/>
        </w:rPr>
        <w:footnoteReference w:id="157"/>
      </w:r>
    </w:p>
    <w:p w14:paraId="3B4370FC" w14:textId="77777777" w:rsidR="007C5D25" w:rsidRPr="006C6C4F" w:rsidRDefault="007C5D25" w:rsidP="007C5D25">
      <w:pPr>
        <w:pStyle w:val="MMultilevel"/>
        <w:rPr>
          <w:i/>
          <w:lang w:val="en-GB"/>
        </w:rPr>
      </w:pPr>
    </w:p>
    <w:p w14:paraId="25523795" w14:textId="77777777" w:rsidR="001E281D" w:rsidRPr="006C6C4F" w:rsidRDefault="001E281D" w:rsidP="00E178B3">
      <w:pPr>
        <w:pStyle w:val="MMultilevel"/>
        <w:ind w:left="851"/>
        <w:rPr>
          <w:b/>
          <w:i/>
          <w:lang w:val="en-GB"/>
        </w:rPr>
      </w:pPr>
      <w:r w:rsidRPr="006C6C4F">
        <w:rPr>
          <w:i/>
          <w:lang w:val="en-GB"/>
        </w:rPr>
        <w:t xml:space="preserve">Statistical data on the number/percentage of </w:t>
      </w:r>
      <w:r w:rsidRPr="006C6C4F">
        <w:rPr>
          <w:b/>
          <w:i/>
          <w:lang w:val="en-GB"/>
        </w:rPr>
        <w:t xml:space="preserve">successful </w:t>
      </w:r>
      <w:r w:rsidRPr="006C6C4F">
        <w:rPr>
          <w:i/>
          <w:lang w:val="en-GB"/>
        </w:rPr>
        <w:t xml:space="preserve">applications for residence permits for family members: </w:t>
      </w:r>
    </w:p>
    <w:p w14:paraId="5E2B2645" w14:textId="77777777" w:rsidR="0097610B" w:rsidRPr="006C6C4F" w:rsidRDefault="0097610B" w:rsidP="005E0055">
      <w:pPr>
        <w:pStyle w:val="MMultilevel"/>
        <w:rPr>
          <w:lang w:val="en-GB"/>
        </w:rPr>
      </w:pPr>
    </w:p>
    <w:p w14:paraId="3868086C" w14:textId="5F2867FA" w:rsidR="005E0055" w:rsidRPr="006C6C4F" w:rsidRDefault="005E0055" w:rsidP="005E0055">
      <w:pPr>
        <w:pStyle w:val="MMultilevel"/>
        <w:rPr>
          <w:lang w:val="en-GB"/>
        </w:rPr>
      </w:pPr>
      <w:r w:rsidRPr="006C6C4F">
        <w:rPr>
          <w:lang w:val="en-GB"/>
        </w:rPr>
        <w:t xml:space="preserve">The data is not available, as the Lithuanian Migration Department does not collect such a data set and it is impossible to </w:t>
      </w:r>
      <w:r w:rsidR="00F031DA">
        <w:rPr>
          <w:lang w:val="en-GB"/>
        </w:rPr>
        <w:t>disaggregate</w:t>
      </w:r>
      <w:r w:rsidR="00F031DA" w:rsidRPr="006C6C4F">
        <w:rPr>
          <w:lang w:val="en-GB"/>
        </w:rPr>
        <w:t xml:space="preserve"> </w:t>
      </w:r>
      <w:r w:rsidRPr="006C6C4F">
        <w:rPr>
          <w:lang w:val="en-GB"/>
        </w:rPr>
        <w:t>the data from the investors’ data set.</w:t>
      </w:r>
      <w:r w:rsidRPr="00A36FFC">
        <w:rPr>
          <w:rStyle w:val="FootnoteReference"/>
        </w:rPr>
        <w:footnoteReference w:id="158"/>
      </w:r>
    </w:p>
    <w:p w14:paraId="2CF69201" w14:textId="77777777" w:rsidR="001E281D" w:rsidRPr="006C6C4F" w:rsidRDefault="001E281D" w:rsidP="001E281D">
      <w:pPr>
        <w:pStyle w:val="MBT"/>
        <w:rPr>
          <w:lang w:val="en-GB"/>
        </w:rPr>
      </w:pPr>
    </w:p>
    <w:p w14:paraId="0A4BF766" w14:textId="77777777" w:rsidR="001E281D" w:rsidRPr="006C6C4F" w:rsidRDefault="001E281D" w:rsidP="001E281D">
      <w:pPr>
        <w:pStyle w:val="MBT"/>
        <w:rPr>
          <w:lang w:val="en-GB"/>
        </w:rPr>
      </w:pPr>
    </w:p>
    <w:p w14:paraId="1F5EBF07" w14:textId="77777777" w:rsidR="003B25FE" w:rsidRPr="006C6C4F" w:rsidRDefault="003B25FE" w:rsidP="002636C6">
      <w:pPr>
        <w:pStyle w:val="MBT"/>
        <w:rPr>
          <w:i/>
          <w:color w:val="FF0000"/>
          <w:lang w:val="en-GB"/>
        </w:rPr>
        <w:sectPr w:rsidR="003B25FE" w:rsidRPr="006C6C4F" w:rsidSect="00B75846">
          <w:headerReference w:type="default" r:id="rId23"/>
          <w:footerReference w:type="default" r:id="rId24"/>
          <w:pgSz w:w="11906" w:h="16838"/>
          <w:pgMar w:top="1440" w:right="1440" w:bottom="1440" w:left="1440" w:header="708" w:footer="708" w:gutter="0"/>
          <w:pgNumType w:start="1"/>
          <w:cols w:space="708"/>
          <w:docGrid w:linePitch="360"/>
        </w:sectPr>
      </w:pPr>
    </w:p>
    <w:p w14:paraId="10D32126" w14:textId="77777777" w:rsidR="00B311A7" w:rsidRPr="006C6C4F" w:rsidRDefault="00B311A7" w:rsidP="0001799A">
      <w:pPr>
        <w:pStyle w:val="MH1"/>
      </w:pPr>
      <w:bookmarkStart w:id="38" w:name="_Toc496025535"/>
      <w:bookmarkStart w:id="39" w:name="_Toc522130159"/>
      <w:bookmarkEnd w:id="35"/>
      <w:r w:rsidRPr="006C6C4F">
        <w:lastRenderedPageBreak/>
        <w:t>Type of investment</w:t>
      </w:r>
      <w:bookmarkEnd w:id="38"/>
      <w:r w:rsidR="00B65D4C" w:rsidRPr="004C4CE9">
        <w:rPr>
          <w:rStyle w:val="FootnoteReference"/>
        </w:rPr>
        <w:footnoteReference w:id="159"/>
      </w:r>
      <w:bookmarkEnd w:id="39"/>
    </w:p>
    <w:tbl>
      <w:tblPr>
        <w:tblStyle w:val="TableGrid"/>
        <w:tblW w:w="4989"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2189"/>
        <w:gridCol w:w="1465"/>
        <w:gridCol w:w="7510"/>
        <w:gridCol w:w="2979"/>
      </w:tblGrid>
      <w:tr w:rsidR="006611EC" w:rsidRPr="006C6C4F" w14:paraId="23816E3C" w14:textId="77777777" w:rsidTr="008B4DE9">
        <w:trPr>
          <w:trHeight w:val="60"/>
          <w:tblHeader/>
        </w:trPr>
        <w:tc>
          <w:tcPr>
            <w:tcW w:w="774" w:type="pct"/>
            <w:shd w:val="clear" w:color="auto" w:fill="95B3D7" w:themeFill="accent1" w:themeFillTint="99"/>
            <w:vAlign w:val="center"/>
          </w:tcPr>
          <w:p w14:paraId="6453FDA0" w14:textId="37876351" w:rsidR="006611EC" w:rsidRPr="005C109E" w:rsidRDefault="006611EC" w:rsidP="005C109E">
            <w:pPr>
              <w:jc w:val="center"/>
              <w:rPr>
                <w:rFonts w:ascii="Century Gothic" w:hAnsi="Century Gothic"/>
                <w:b/>
                <w:bCs/>
                <w:sz w:val="18"/>
                <w:szCs w:val="18"/>
              </w:rPr>
            </w:pPr>
            <w:r w:rsidRPr="006C6C4F">
              <w:rPr>
                <w:rFonts w:ascii="Century Gothic" w:hAnsi="Century Gothic"/>
                <w:b/>
                <w:bCs/>
                <w:sz w:val="18"/>
                <w:szCs w:val="18"/>
              </w:rPr>
              <w:t>Type of investment required</w:t>
            </w:r>
          </w:p>
        </w:tc>
        <w:tc>
          <w:tcPr>
            <w:tcW w:w="518" w:type="pct"/>
            <w:shd w:val="clear" w:color="auto" w:fill="95B3D7" w:themeFill="accent1" w:themeFillTint="99"/>
            <w:vAlign w:val="center"/>
          </w:tcPr>
          <w:p w14:paraId="0577BFE0" w14:textId="5FF5B8EE" w:rsidR="006611EC" w:rsidRPr="005C109E" w:rsidRDefault="006611EC" w:rsidP="005C109E">
            <w:pPr>
              <w:jc w:val="center"/>
              <w:rPr>
                <w:rFonts w:ascii="Century Gothic" w:hAnsi="Century Gothic"/>
                <w:b/>
                <w:bCs/>
                <w:sz w:val="18"/>
                <w:szCs w:val="18"/>
              </w:rPr>
            </w:pPr>
            <w:r w:rsidRPr="006C6C4F">
              <w:rPr>
                <w:rFonts w:ascii="Century Gothic" w:hAnsi="Century Gothic"/>
                <w:b/>
                <w:bCs/>
                <w:sz w:val="18"/>
                <w:szCs w:val="18"/>
              </w:rPr>
              <w:t>Applicability of financial threshold</w:t>
            </w:r>
          </w:p>
        </w:tc>
        <w:tc>
          <w:tcPr>
            <w:tcW w:w="2655" w:type="pct"/>
            <w:shd w:val="clear" w:color="auto" w:fill="95B3D7" w:themeFill="accent1" w:themeFillTint="99"/>
            <w:vAlign w:val="center"/>
          </w:tcPr>
          <w:p w14:paraId="5E08B4BD" w14:textId="77777777" w:rsidR="006611EC" w:rsidRPr="006C6C4F" w:rsidRDefault="006611EC" w:rsidP="005C109E">
            <w:pPr>
              <w:jc w:val="center"/>
              <w:rPr>
                <w:rFonts w:ascii="Century Gothic" w:hAnsi="Century Gothic"/>
                <w:b/>
                <w:bCs/>
                <w:sz w:val="18"/>
                <w:szCs w:val="18"/>
              </w:rPr>
            </w:pPr>
            <w:r w:rsidRPr="006C6C4F">
              <w:rPr>
                <w:rFonts w:ascii="Century Gothic" w:hAnsi="Century Gothic"/>
                <w:b/>
                <w:bCs/>
                <w:sz w:val="18"/>
                <w:szCs w:val="18"/>
              </w:rPr>
              <w:t>Procedure to verify the fulfilment of the investment criterion</w:t>
            </w:r>
          </w:p>
        </w:tc>
        <w:tc>
          <w:tcPr>
            <w:tcW w:w="1053" w:type="pct"/>
            <w:shd w:val="clear" w:color="auto" w:fill="95B3D7" w:themeFill="accent1" w:themeFillTint="99"/>
            <w:vAlign w:val="center"/>
          </w:tcPr>
          <w:p w14:paraId="0F0A91A0" w14:textId="77777777" w:rsidR="006611EC" w:rsidRPr="006C6C4F" w:rsidRDefault="006611EC" w:rsidP="005C109E">
            <w:pPr>
              <w:jc w:val="center"/>
              <w:rPr>
                <w:rFonts w:ascii="Century Gothic" w:hAnsi="Century Gothic"/>
                <w:b/>
                <w:bCs/>
                <w:sz w:val="18"/>
                <w:szCs w:val="18"/>
              </w:rPr>
            </w:pPr>
            <w:r w:rsidRPr="006C6C4F">
              <w:rPr>
                <w:rFonts w:ascii="Century Gothic" w:hAnsi="Century Gothic"/>
                <w:b/>
                <w:bCs/>
                <w:sz w:val="18"/>
                <w:szCs w:val="18"/>
              </w:rPr>
              <w:t>Competent authorities and non-public bodies</w:t>
            </w:r>
          </w:p>
        </w:tc>
      </w:tr>
      <w:tr w:rsidR="006611EC" w:rsidRPr="006C6C4F" w14:paraId="76A6CF32" w14:textId="77777777" w:rsidTr="008B4DE9">
        <w:tc>
          <w:tcPr>
            <w:tcW w:w="774" w:type="pct"/>
            <w:shd w:val="clear" w:color="auto" w:fill="D9D9D9" w:themeFill="background1" w:themeFillShade="D9"/>
          </w:tcPr>
          <w:p w14:paraId="376EB5BC" w14:textId="09DC04D3" w:rsidR="006611EC" w:rsidRPr="006C6C4F" w:rsidRDefault="008C4EE8" w:rsidP="008C4EE8">
            <w:pPr>
              <w:rPr>
                <w:rFonts w:ascii="Century Gothic" w:hAnsi="Century Gothic"/>
                <w:b/>
                <w:bCs/>
                <w:sz w:val="18"/>
                <w:szCs w:val="18"/>
              </w:rPr>
            </w:pPr>
            <w:bookmarkStart w:id="40" w:name="_Hlk517203971"/>
            <w:r>
              <w:rPr>
                <w:rFonts w:ascii="Century Gothic" w:hAnsi="Century Gothic"/>
                <w:b/>
                <w:bCs/>
                <w:sz w:val="18"/>
                <w:szCs w:val="18"/>
              </w:rPr>
              <w:t xml:space="preserve">Small investors: </w:t>
            </w:r>
            <w:r w:rsidR="006611EC" w:rsidRPr="006C6C4F">
              <w:rPr>
                <w:rFonts w:ascii="Century Gothic" w:hAnsi="Century Gothic"/>
                <w:b/>
                <w:bCs/>
                <w:sz w:val="18"/>
                <w:szCs w:val="18"/>
              </w:rPr>
              <w:t>Article 45.1(1) LLSA</w:t>
            </w:r>
            <w:r w:rsidR="006611EC" w:rsidRPr="006C6C4F">
              <w:rPr>
                <w:rFonts w:ascii="Century Gothic" w:hAnsi="Century Gothic"/>
                <w:bCs/>
                <w:sz w:val="18"/>
                <w:szCs w:val="18"/>
              </w:rPr>
              <w:t xml:space="preserve"> Investment in the business that the foreigner runs or owns </w:t>
            </w:r>
          </w:p>
        </w:tc>
        <w:tc>
          <w:tcPr>
            <w:tcW w:w="518" w:type="pct"/>
            <w:shd w:val="clear" w:color="auto" w:fill="D9D9D9" w:themeFill="background1" w:themeFillShade="D9"/>
          </w:tcPr>
          <w:p w14:paraId="2D3EC125" w14:textId="33028899" w:rsidR="006611EC" w:rsidRPr="006C6C4F" w:rsidRDefault="006611EC" w:rsidP="00BC4342">
            <w:pPr>
              <w:rPr>
                <w:rFonts w:ascii="Century Gothic" w:hAnsi="Century Gothic"/>
                <w:bCs/>
                <w:sz w:val="18"/>
                <w:szCs w:val="18"/>
              </w:rPr>
            </w:pPr>
            <w:r w:rsidRPr="006C6C4F">
              <w:rPr>
                <w:rFonts w:ascii="Century Gothic" w:hAnsi="Century Gothic"/>
                <w:bCs/>
                <w:sz w:val="18"/>
                <w:szCs w:val="18"/>
              </w:rPr>
              <w:t xml:space="preserve">Minimum </w:t>
            </w:r>
            <w:r w:rsidR="00F031DA">
              <w:rPr>
                <w:rFonts w:ascii="Century Gothic" w:hAnsi="Century Gothic"/>
                <w:bCs/>
                <w:sz w:val="18"/>
                <w:szCs w:val="18"/>
              </w:rPr>
              <w:t xml:space="preserve">EUR </w:t>
            </w:r>
            <w:r w:rsidRPr="006C6C4F">
              <w:rPr>
                <w:rFonts w:ascii="Century Gothic" w:hAnsi="Century Gothic"/>
                <w:bCs/>
                <w:sz w:val="18"/>
                <w:szCs w:val="18"/>
              </w:rPr>
              <w:t xml:space="preserve">14,000 in a company that has the capital minimum </w:t>
            </w:r>
            <w:r w:rsidR="00F031DA">
              <w:rPr>
                <w:rFonts w:ascii="Century Gothic" w:hAnsi="Century Gothic"/>
                <w:bCs/>
                <w:sz w:val="18"/>
                <w:szCs w:val="18"/>
              </w:rPr>
              <w:t xml:space="preserve">EUR </w:t>
            </w:r>
            <w:r w:rsidRPr="006C6C4F">
              <w:rPr>
                <w:rFonts w:ascii="Century Gothic" w:hAnsi="Century Gothic"/>
                <w:bCs/>
                <w:sz w:val="18"/>
                <w:szCs w:val="18"/>
              </w:rPr>
              <w:t xml:space="preserve">28,000. </w:t>
            </w:r>
          </w:p>
          <w:p w14:paraId="5B8465BB" w14:textId="77777777" w:rsidR="006611EC" w:rsidRPr="006C6C4F" w:rsidRDefault="006611EC" w:rsidP="00BC4342">
            <w:pPr>
              <w:rPr>
                <w:rFonts w:ascii="Century Gothic" w:hAnsi="Century Gothic"/>
                <w:bCs/>
                <w:sz w:val="18"/>
                <w:szCs w:val="18"/>
              </w:rPr>
            </w:pPr>
          </w:p>
          <w:p w14:paraId="013FA71B" w14:textId="77777777" w:rsidR="006611EC" w:rsidRPr="006C6C4F" w:rsidRDefault="006611EC" w:rsidP="00BC4342">
            <w:pPr>
              <w:rPr>
                <w:rFonts w:ascii="Century Gothic" w:hAnsi="Century Gothic"/>
                <w:bCs/>
                <w:sz w:val="18"/>
                <w:szCs w:val="18"/>
              </w:rPr>
            </w:pPr>
            <w:r w:rsidRPr="006C6C4F">
              <w:rPr>
                <w:rFonts w:ascii="Century Gothic" w:hAnsi="Century Gothic"/>
                <w:bCs/>
                <w:sz w:val="18"/>
                <w:szCs w:val="18"/>
              </w:rPr>
              <w:t>The investor must own at least 1/3 of the nominal value of the registered share capital in such a joint stock company.</w:t>
            </w:r>
          </w:p>
        </w:tc>
        <w:tc>
          <w:tcPr>
            <w:tcW w:w="2655" w:type="pct"/>
            <w:shd w:val="clear" w:color="auto" w:fill="D9D9D9" w:themeFill="background1" w:themeFillShade="D9"/>
          </w:tcPr>
          <w:p w14:paraId="01FA6711" w14:textId="77777777" w:rsidR="006611EC" w:rsidRPr="006C6C4F" w:rsidRDefault="006611EC" w:rsidP="004C4CE9">
            <w:pPr>
              <w:pStyle w:val="ListParagraph"/>
              <w:numPr>
                <w:ilvl w:val="0"/>
                <w:numId w:val="14"/>
              </w:numPr>
              <w:jc w:val="left"/>
              <w:rPr>
                <w:rFonts w:ascii="Century Gothic" w:hAnsi="Century Gothic"/>
                <w:bCs/>
                <w:sz w:val="18"/>
                <w:szCs w:val="18"/>
              </w:rPr>
            </w:pPr>
            <w:r w:rsidRPr="006C6C4F">
              <w:rPr>
                <w:rFonts w:ascii="Century Gothic" w:hAnsi="Century Gothic"/>
                <w:bCs/>
                <w:sz w:val="18"/>
                <w:szCs w:val="18"/>
              </w:rPr>
              <w:t xml:space="preserve">The checks of personal investment are carried out firstly during the lodging of an application for </w:t>
            </w:r>
            <w:r w:rsidR="00FA2AFE">
              <w:rPr>
                <w:rFonts w:ascii="Century Gothic" w:hAnsi="Century Gothic"/>
                <w:bCs/>
                <w:sz w:val="18"/>
                <w:szCs w:val="18"/>
              </w:rPr>
              <w:t xml:space="preserve">the </w:t>
            </w:r>
            <w:r w:rsidRPr="006C6C4F">
              <w:rPr>
                <w:rFonts w:ascii="Century Gothic" w:hAnsi="Century Gothic"/>
                <w:bCs/>
                <w:sz w:val="18"/>
                <w:szCs w:val="18"/>
              </w:rPr>
              <w:t>issue/renewal of a TRP (Stage 1).</w:t>
            </w:r>
          </w:p>
          <w:p w14:paraId="7E50A9C0" w14:textId="033F14E7" w:rsidR="00222C31" w:rsidRPr="006C6C4F" w:rsidRDefault="00222C31" w:rsidP="004C4CE9">
            <w:pPr>
              <w:pStyle w:val="ListParagraph"/>
              <w:numPr>
                <w:ilvl w:val="0"/>
                <w:numId w:val="14"/>
              </w:numPr>
              <w:contextualSpacing w:val="0"/>
              <w:rPr>
                <w:rFonts w:ascii="Century Gothic" w:hAnsi="Century Gothic"/>
                <w:b/>
                <w:bCs/>
                <w:sz w:val="18"/>
                <w:szCs w:val="18"/>
              </w:rPr>
            </w:pPr>
            <w:r w:rsidRPr="006C6C4F">
              <w:rPr>
                <w:rFonts w:ascii="Century Gothic" w:hAnsi="Century Gothic"/>
                <w:bCs/>
                <w:sz w:val="18"/>
                <w:szCs w:val="18"/>
              </w:rPr>
              <w:t>The checks for personal investment are carried out at the time of</w:t>
            </w:r>
            <w:r w:rsidR="00F031DA">
              <w:rPr>
                <w:rFonts w:ascii="Century Gothic" w:hAnsi="Century Gothic"/>
                <w:bCs/>
                <w:sz w:val="18"/>
                <w:szCs w:val="18"/>
              </w:rPr>
              <w:t xml:space="preserve"> the application </w:t>
            </w:r>
            <w:r w:rsidRPr="006C6C4F">
              <w:rPr>
                <w:rFonts w:ascii="Century Gothic" w:hAnsi="Century Gothic"/>
                <w:bCs/>
                <w:sz w:val="18"/>
                <w:szCs w:val="18"/>
              </w:rPr>
              <w:t>to issue/renew a TRP (Stage 1).</w:t>
            </w:r>
            <w:r w:rsidRPr="004C4CE9">
              <w:rPr>
                <w:rStyle w:val="FootnoteReference"/>
              </w:rPr>
              <w:footnoteReference w:id="160"/>
            </w:r>
          </w:p>
          <w:p w14:paraId="778D2763" w14:textId="08A91762" w:rsidR="006611EC" w:rsidRPr="006C6C4F" w:rsidRDefault="006611EC" w:rsidP="004C4CE9">
            <w:pPr>
              <w:pStyle w:val="ListParagraph"/>
              <w:numPr>
                <w:ilvl w:val="0"/>
                <w:numId w:val="14"/>
              </w:numPr>
              <w:contextualSpacing w:val="0"/>
              <w:rPr>
                <w:rFonts w:ascii="Century Gothic" w:hAnsi="Century Gothic"/>
                <w:b/>
                <w:bCs/>
                <w:sz w:val="18"/>
                <w:szCs w:val="18"/>
              </w:rPr>
            </w:pPr>
            <w:r w:rsidRPr="006C6C4F">
              <w:rPr>
                <w:rFonts w:ascii="Century Gothic" w:hAnsi="Century Gothic"/>
                <w:bCs/>
                <w:sz w:val="18"/>
                <w:szCs w:val="18"/>
              </w:rPr>
              <w:t>The fictitious company (genuine business presence) checks are carried out at the stage of a TRP application (Stage 1)</w:t>
            </w:r>
            <w:r w:rsidRPr="004C4CE9">
              <w:rPr>
                <w:rStyle w:val="FootnoteReference"/>
              </w:rPr>
              <w:footnoteReference w:id="161"/>
            </w:r>
            <w:r w:rsidRPr="006C6C4F">
              <w:rPr>
                <w:rFonts w:ascii="Century Gothic" w:hAnsi="Century Gothic"/>
                <w:bCs/>
                <w:sz w:val="18"/>
                <w:szCs w:val="18"/>
              </w:rPr>
              <w:t xml:space="preserve"> </w:t>
            </w:r>
            <w:r w:rsidR="00A775C8" w:rsidRPr="006C6C4F">
              <w:rPr>
                <w:rFonts w:ascii="Century Gothic" w:hAnsi="Century Gothic"/>
                <w:bCs/>
                <w:sz w:val="18"/>
                <w:szCs w:val="18"/>
              </w:rPr>
              <w:t xml:space="preserve">and </w:t>
            </w:r>
            <w:r w:rsidR="00FA2AFE">
              <w:rPr>
                <w:rFonts w:ascii="Century Gothic" w:hAnsi="Century Gothic"/>
                <w:bCs/>
                <w:sz w:val="18"/>
                <w:szCs w:val="18"/>
              </w:rPr>
              <w:t>during</w:t>
            </w:r>
            <w:r w:rsidR="00FA2AFE" w:rsidRPr="006C6C4F">
              <w:rPr>
                <w:rFonts w:ascii="Century Gothic" w:hAnsi="Century Gothic"/>
                <w:bCs/>
                <w:sz w:val="18"/>
                <w:szCs w:val="18"/>
              </w:rPr>
              <w:t xml:space="preserve"> </w:t>
            </w:r>
            <w:r w:rsidR="00A775C8" w:rsidRPr="006C6C4F">
              <w:rPr>
                <w:rFonts w:ascii="Century Gothic" w:hAnsi="Century Gothic"/>
                <w:bCs/>
                <w:sz w:val="18"/>
                <w:szCs w:val="18"/>
              </w:rPr>
              <w:t>the examination of the application (Stage 2);</w:t>
            </w:r>
            <w:r w:rsidR="006939CB" w:rsidRPr="004C4CE9">
              <w:rPr>
                <w:rStyle w:val="FootnoteReference"/>
              </w:rPr>
              <w:footnoteReference w:id="162"/>
            </w:r>
            <w:r w:rsidR="00A775C8" w:rsidRPr="006C6C4F">
              <w:rPr>
                <w:rFonts w:ascii="Century Gothic" w:hAnsi="Century Gothic"/>
                <w:bCs/>
                <w:sz w:val="18"/>
                <w:szCs w:val="18"/>
              </w:rPr>
              <w:t xml:space="preserve"> they </w:t>
            </w:r>
            <w:r w:rsidRPr="006C6C4F">
              <w:rPr>
                <w:rFonts w:ascii="Century Gothic" w:hAnsi="Century Gothic"/>
                <w:bCs/>
                <w:sz w:val="18"/>
                <w:szCs w:val="18"/>
              </w:rPr>
              <w:t>can be also carried out later, after a TRP ha</w:t>
            </w:r>
            <w:r w:rsidR="00FA2AFE">
              <w:rPr>
                <w:rFonts w:ascii="Century Gothic" w:hAnsi="Century Gothic"/>
                <w:bCs/>
                <w:sz w:val="18"/>
                <w:szCs w:val="18"/>
              </w:rPr>
              <w:t>s</w:t>
            </w:r>
            <w:r w:rsidRPr="006C6C4F">
              <w:rPr>
                <w:rFonts w:ascii="Century Gothic" w:hAnsi="Century Gothic"/>
                <w:bCs/>
                <w:sz w:val="18"/>
                <w:szCs w:val="18"/>
              </w:rPr>
              <w:t xml:space="preserve"> been granted.</w:t>
            </w:r>
            <w:r w:rsidR="00B64362" w:rsidRPr="004C4CE9">
              <w:rPr>
                <w:rStyle w:val="FootnoteReference"/>
              </w:rPr>
              <w:footnoteReference w:id="163"/>
            </w:r>
          </w:p>
          <w:p w14:paraId="7D2D0390" w14:textId="77777777" w:rsidR="006611EC" w:rsidRPr="006C6C4F" w:rsidRDefault="006611EC" w:rsidP="004C4CE9">
            <w:pPr>
              <w:pStyle w:val="ListParagraph"/>
              <w:numPr>
                <w:ilvl w:val="0"/>
                <w:numId w:val="14"/>
              </w:numPr>
              <w:contextualSpacing w:val="0"/>
              <w:rPr>
                <w:rFonts w:ascii="Century Gothic" w:hAnsi="Century Gothic"/>
                <w:b/>
                <w:bCs/>
                <w:sz w:val="18"/>
                <w:szCs w:val="18"/>
              </w:rPr>
            </w:pPr>
            <w:bookmarkStart w:id="41" w:name="_Hlk517203776"/>
            <w:r w:rsidRPr="006C6C4F">
              <w:rPr>
                <w:rFonts w:ascii="Century Gothic" w:hAnsi="Century Gothic"/>
                <w:sz w:val="18"/>
                <w:szCs w:val="18"/>
              </w:rPr>
              <w:t>The law does not specify that the investment should include a cash payment.</w:t>
            </w:r>
          </w:p>
          <w:bookmarkEnd w:id="41"/>
          <w:p w14:paraId="42EE9C3B" w14:textId="77777777" w:rsidR="006611EC" w:rsidRPr="006C6C4F" w:rsidRDefault="006611EC" w:rsidP="004C4CE9">
            <w:pPr>
              <w:pStyle w:val="ListParagraph"/>
              <w:numPr>
                <w:ilvl w:val="0"/>
                <w:numId w:val="14"/>
              </w:numPr>
              <w:contextualSpacing w:val="0"/>
              <w:rPr>
                <w:rFonts w:ascii="Century Gothic" w:hAnsi="Century Gothic"/>
                <w:b/>
                <w:bCs/>
                <w:sz w:val="18"/>
                <w:szCs w:val="18"/>
              </w:rPr>
            </w:pPr>
            <w:r w:rsidRPr="006C6C4F">
              <w:rPr>
                <w:rFonts w:ascii="Century Gothic" w:hAnsi="Century Gothic"/>
                <w:bCs/>
                <w:sz w:val="18"/>
                <w:szCs w:val="18"/>
              </w:rPr>
              <w:t>To prove that the investment requirement is fulfilled, the following evidence should be presented (</w:t>
            </w:r>
            <w:r w:rsidRPr="006C6C4F">
              <w:rPr>
                <w:rFonts w:ascii="Century Gothic" w:hAnsi="Century Gothic"/>
                <w:b/>
                <w:bCs/>
                <w:sz w:val="18"/>
                <w:szCs w:val="18"/>
              </w:rPr>
              <w:t>Article 24.21 TRP Rules</w:t>
            </w:r>
            <w:r w:rsidRPr="006C6C4F">
              <w:rPr>
                <w:rFonts w:ascii="Century Gothic" w:hAnsi="Century Gothic"/>
                <w:bCs/>
                <w:sz w:val="18"/>
                <w:szCs w:val="18"/>
              </w:rPr>
              <w:t>):</w:t>
            </w:r>
          </w:p>
          <w:p w14:paraId="56EC5315" w14:textId="77777777" w:rsidR="006611EC" w:rsidRPr="008B4DE9" w:rsidRDefault="006611EC" w:rsidP="008B4DE9">
            <w:pPr>
              <w:pStyle w:val="MMultileveltable"/>
              <w:numPr>
                <w:ilvl w:val="1"/>
                <w:numId w:val="5"/>
              </w:numPr>
              <w:rPr>
                <w:rFonts w:ascii="Century Gothic" w:hAnsi="Century Gothic"/>
                <w:sz w:val="18"/>
              </w:rPr>
            </w:pPr>
            <w:r w:rsidRPr="008B4DE9">
              <w:rPr>
                <w:rFonts w:ascii="Century Gothic" w:hAnsi="Century Gothic"/>
                <w:sz w:val="18"/>
              </w:rPr>
              <w:t>Company’s establishment/purchase documents and company’s articles of association;</w:t>
            </w:r>
          </w:p>
          <w:p w14:paraId="433C29B1" w14:textId="77777777" w:rsidR="006611EC" w:rsidRPr="008B4DE9" w:rsidRDefault="006611EC" w:rsidP="008B4DE9">
            <w:pPr>
              <w:pStyle w:val="MMultileveltable"/>
              <w:numPr>
                <w:ilvl w:val="1"/>
                <w:numId w:val="5"/>
              </w:numPr>
              <w:rPr>
                <w:rFonts w:ascii="Century Gothic" w:hAnsi="Century Gothic"/>
                <w:sz w:val="18"/>
              </w:rPr>
            </w:pPr>
            <w:r w:rsidRPr="008B4DE9">
              <w:rPr>
                <w:rFonts w:ascii="Century Gothic" w:hAnsi="Century Gothic"/>
                <w:sz w:val="18"/>
              </w:rPr>
              <w:t>Business plan;</w:t>
            </w:r>
          </w:p>
          <w:p w14:paraId="761835B4" w14:textId="36D4141E" w:rsidR="006611EC" w:rsidRPr="008B4DE9" w:rsidRDefault="006611EC" w:rsidP="008B4DE9">
            <w:pPr>
              <w:pStyle w:val="MMultileveltable"/>
              <w:numPr>
                <w:ilvl w:val="1"/>
                <w:numId w:val="5"/>
              </w:numPr>
              <w:rPr>
                <w:rFonts w:ascii="Century Gothic" w:hAnsi="Century Gothic"/>
                <w:sz w:val="18"/>
              </w:rPr>
            </w:pPr>
            <w:r w:rsidRPr="008B4DE9">
              <w:rPr>
                <w:rFonts w:ascii="Century Gothic" w:hAnsi="Century Gothic"/>
                <w:sz w:val="18"/>
              </w:rPr>
              <w:t xml:space="preserve">Documents confirming that 6 months prior to the application for </w:t>
            </w:r>
            <w:r w:rsidR="00AA1AF2" w:rsidRPr="008B4DE9">
              <w:rPr>
                <w:rFonts w:ascii="Century Gothic" w:hAnsi="Century Gothic"/>
                <w:sz w:val="18"/>
              </w:rPr>
              <w:t>the TRP</w:t>
            </w:r>
            <w:r w:rsidRPr="008B4DE9">
              <w:rPr>
                <w:rFonts w:ascii="Century Gothic" w:hAnsi="Century Gothic"/>
                <w:sz w:val="18"/>
              </w:rPr>
              <w:t xml:space="preserve"> the company was commercially active in Lithuania (e.g. contracts with suppliers or clients; company’s bank account statements; annual corporate tax declaration; contract for hire of business premised etc);</w:t>
            </w:r>
          </w:p>
          <w:p w14:paraId="19D12265" w14:textId="77777777" w:rsidR="006611EC" w:rsidRPr="008B4DE9" w:rsidRDefault="006611EC" w:rsidP="008B4DE9">
            <w:pPr>
              <w:pStyle w:val="MMultileveltable"/>
              <w:numPr>
                <w:ilvl w:val="1"/>
                <w:numId w:val="5"/>
              </w:numPr>
              <w:rPr>
                <w:rFonts w:ascii="Century Gothic" w:hAnsi="Century Gothic"/>
                <w:sz w:val="18"/>
              </w:rPr>
            </w:pPr>
            <w:r w:rsidRPr="008B4DE9">
              <w:rPr>
                <w:rFonts w:ascii="Century Gothic" w:hAnsi="Century Gothic"/>
                <w:sz w:val="18"/>
              </w:rPr>
              <w:t xml:space="preserve">Documents evidencing that the company employs at least one full-time employee who receives the total minimum pay of at least two gross average monthly salaries (BDU) measured at the last financial quarter, as announced by the Statistics Lithuania (e.g. an employment contract). The Information system of the State Social Insurance Fund Board is consulted </w:t>
            </w:r>
            <w:r w:rsidRPr="008B4DE9">
              <w:rPr>
                <w:rFonts w:ascii="Century Gothic" w:hAnsi="Century Gothic"/>
                <w:sz w:val="18"/>
              </w:rPr>
              <w:lastRenderedPageBreak/>
              <w:t>to confirm there are full-time work posts in the company and how many employees work there (Article 44.9.2 TRP Rules).</w:t>
            </w:r>
          </w:p>
          <w:p w14:paraId="072134AB" w14:textId="4F87218B" w:rsidR="006611EC" w:rsidRPr="008B4DE9" w:rsidRDefault="006611EC" w:rsidP="008B4DE9">
            <w:pPr>
              <w:pStyle w:val="MMultileveltable"/>
              <w:numPr>
                <w:ilvl w:val="1"/>
                <w:numId w:val="5"/>
              </w:numPr>
              <w:rPr>
                <w:rFonts w:ascii="Century Gothic" w:hAnsi="Century Gothic"/>
                <w:sz w:val="18"/>
              </w:rPr>
            </w:pPr>
            <w:r w:rsidRPr="008B4DE9">
              <w:rPr>
                <w:rFonts w:ascii="Century Gothic" w:hAnsi="Century Gothic"/>
                <w:sz w:val="18"/>
              </w:rPr>
              <w:t xml:space="preserve">Documents evidencing that the share capital (if a joint stock company) or the value of the overall business assets is at least </w:t>
            </w:r>
            <w:r w:rsidR="00FA2AFE" w:rsidRPr="008B4DE9">
              <w:rPr>
                <w:rFonts w:ascii="Century Gothic" w:hAnsi="Century Gothic"/>
                <w:sz w:val="18"/>
              </w:rPr>
              <w:t xml:space="preserve">EUR </w:t>
            </w:r>
            <w:r w:rsidRPr="008B4DE9">
              <w:rPr>
                <w:rFonts w:ascii="Century Gothic" w:hAnsi="Century Gothic"/>
                <w:sz w:val="18"/>
              </w:rPr>
              <w:t xml:space="preserve">28,000, from which at least </w:t>
            </w:r>
            <w:r w:rsidR="00FA2AFE" w:rsidRPr="008B4DE9">
              <w:rPr>
                <w:rFonts w:ascii="Century Gothic" w:hAnsi="Century Gothic"/>
                <w:sz w:val="18"/>
              </w:rPr>
              <w:t xml:space="preserve">EUR </w:t>
            </w:r>
            <w:r w:rsidRPr="008B4DE9">
              <w:rPr>
                <w:rFonts w:ascii="Century Gothic" w:hAnsi="Century Gothic"/>
                <w:sz w:val="18"/>
              </w:rPr>
              <w:t>14,000 is the investor’s personal investment (e.g. financial accounts; the balance sheet);</w:t>
            </w:r>
          </w:p>
          <w:p w14:paraId="1FEE2B89" w14:textId="02847608" w:rsidR="006611EC" w:rsidRPr="006C6C4F" w:rsidRDefault="006611EC" w:rsidP="008B4DE9">
            <w:pPr>
              <w:pStyle w:val="MMultileveltable"/>
              <w:numPr>
                <w:ilvl w:val="1"/>
                <w:numId w:val="5"/>
              </w:numPr>
            </w:pPr>
            <w:r w:rsidRPr="008B4DE9">
              <w:rPr>
                <w:rFonts w:ascii="Century Gothic" w:hAnsi="Century Gothic"/>
                <w:sz w:val="18"/>
              </w:rPr>
              <w:t xml:space="preserve">Documents evidencing that the foreigner </w:t>
            </w:r>
            <w:r w:rsidR="00AA1AF2" w:rsidRPr="008B4DE9">
              <w:rPr>
                <w:rFonts w:ascii="Century Gothic" w:hAnsi="Century Gothic"/>
                <w:sz w:val="18"/>
              </w:rPr>
              <w:t>participates in the company (either as owner, “manager of the enterprise”</w:t>
            </w:r>
            <w:r w:rsidRPr="008B4DE9">
              <w:rPr>
                <w:rFonts w:ascii="Century Gothic" w:hAnsi="Century Gothic"/>
                <w:sz w:val="18"/>
              </w:rPr>
              <w:t xml:space="preserve">, or a shareholder who owns at least </w:t>
            </w:r>
            <w:r w:rsidR="00572813" w:rsidRPr="008B4DE9">
              <w:rPr>
                <w:rFonts w:ascii="Century Gothic" w:hAnsi="Century Gothic"/>
                <w:sz w:val="18"/>
              </w:rPr>
              <w:t>one third</w:t>
            </w:r>
            <w:r w:rsidRPr="008B4DE9">
              <w:rPr>
                <w:rFonts w:ascii="Century Gothic" w:hAnsi="Century Gothic"/>
                <w:sz w:val="18"/>
              </w:rPr>
              <w:t xml:space="preserve"> of the nominal value of the registered company’s share capital</w:t>
            </w:r>
            <w:r w:rsidR="00AA1AF2" w:rsidRPr="008B4DE9">
              <w:rPr>
                <w:rFonts w:ascii="Century Gothic" w:hAnsi="Century Gothic"/>
                <w:sz w:val="18"/>
              </w:rPr>
              <w:t>)</w:t>
            </w:r>
            <w:r w:rsidRPr="008B4DE9">
              <w:rPr>
                <w:rFonts w:ascii="Century Gothic" w:hAnsi="Century Gothic"/>
                <w:sz w:val="18"/>
              </w:rPr>
              <w:t xml:space="preserve">. </w:t>
            </w:r>
            <w:r w:rsidR="00AA1AF2" w:rsidRPr="008B4DE9">
              <w:rPr>
                <w:rFonts w:ascii="Century Gothic" w:hAnsi="Century Gothic"/>
                <w:sz w:val="18"/>
              </w:rPr>
              <w:t xml:space="preserve">For such purpose, the </w:t>
            </w:r>
            <w:r w:rsidRPr="008B4DE9">
              <w:rPr>
                <w:rFonts w:ascii="Century Gothic" w:hAnsi="Century Gothic"/>
                <w:sz w:val="18"/>
              </w:rPr>
              <w:t>Register of Legal Entities is also checked</w:t>
            </w:r>
            <w:r w:rsidR="00AA1AF2" w:rsidRPr="008B4DE9">
              <w:rPr>
                <w:rFonts w:ascii="Century Gothic" w:hAnsi="Century Gothic"/>
                <w:sz w:val="18"/>
              </w:rPr>
              <w:t>.</w:t>
            </w:r>
            <w:r w:rsidRPr="008B4DE9">
              <w:rPr>
                <w:rFonts w:ascii="Century Gothic" w:hAnsi="Century Gothic"/>
                <w:sz w:val="18"/>
              </w:rPr>
              <w:t xml:space="preserve"> (Article 44.9.1 TRP Rules).</w:t>
            </w:r>
          </w:p>
        </w:tc>
        <w:tc>
          <w:tcPr>
            <w:tcW w:w="1053" w:type="pct"/>
            <w:vMerge w:val="restart"/>
            <w:shd w:val="clear" w:color="auto" w:fill="D9D9D9" w:themeFill="background1" w:themeFillShade="D9"/>
          </w:tcPr>
          <w:p w14:paraId="0F08EF14" w14:textId="4874E15D" w:rsidR="006611EC" w:rsidRPr="006C6C4F" w:rsidRDefault="006611EC" w:rsidP="00AE78BA">
            <w:pPr>
              <w:pStyle w:val="ListParagraph"/>
              <w:numPr>
                <w:ilvl w:val="0"/>
                <w:numId w:val="9"/>
              </w:numPr>
              <w:ind w:left="360"/>
              <w:rPr>
                <w:rFonts w:ascii="Century Gothic" w:hAnsi="Century Gothic"/>
                <w:bCs/>
                <w:sz w:val="18"/>
                <w:szCs w:val="18"/>
              </w:rPr>
            </w:pPr>
            <w:r w:rsidRPr="006C6C4F">
              <w:rPr>
                <w:rFonts w:ascii="Century Gothic" w:hAnsi="Century Gothic"/>
                <w:bCs/>
                <w:sz w:val="18"/>
                <w:szCs w:val="18"/>
              </w:rPr>
              <w:lastRenderedPageBreak/>
              <w:t>The competent authorities for foreign investors’ TRP applications are not different from the</w:t>
            </w:r>
            <w:r w:rsidR="00661C11" w:rsidRPr="006C6C4F">
              <w:rPr>
                <w:rFonts w:ascii="Century Gothic" w:hAnsi="Century Gothic"/>
                <w:bCs/>
                <w:sz w:val="18"/>
                <w:szCs w:val="18"/>
              </w:rPr>
              <w:t xml:space="preserve"> ones in the general procedure: f</w:t>
            </w:r>
            <w:r w:rsidRPr="006C6C4F">
              <w:rPr>
                <w:rFonts w:ascii="Century Gothic" w:hAnsi="Century Gothic"/>
                <w:sz w:val="18"/>
                <w:szCs w:val="18"/>
              </w:rPr>
              <w:t>rom 1 December 2017</w:t>
            </w:r>
            <w:r w:rsidRPr="006C6C4F">
              <w:rPr>
                <w:rFonts w:ascii="Century Gothic" w:hAnsi="Century Gothic"/>
                <w:bCs/>
                <w:sz w:val="18"/>
                <w:szCs w:val="18"/>
              </w:rPr>
              <w:t xml:space="preserve">, applications for </w:t>
            </w:r>
            <w:r w:rsidR="00A66B39">
              <w:rPr>
                <w:rFonts w:ascii="Century Gothic" w:hAnsi="Century Gothic"/>
                <w:bCs/>
                <w:sz w:val="18"/>
                <w:szCs w:val="18"/>
              </w:rPr>
              <w:t>TRP</w:t>
            </w:r>
            <w:r w:rsidRPr="006C6C4F">
              <w:rPr>
                <w:rFonts w:ascii="Century Gothic" w:hAnsi="Century Gothic"/>
                <w:bCs/>
                <w:sz w:val="18"/>
                <w:szCs w:val="18"/>
              </w:rPr>
              <w:t>s and related documents are accepted </w:t>
            </w:r>
            <w:r w:rsidRPr="006C6C4F">
              <w:rPr>
                <w:rFonts w:ascii="Century Gothic" w:hAnsi="Century Gothic"/>
                <w:sz w:val="18"/>
                <w:szCs w:val="18"/>
              </w:rPr>
              <w:t xml:space="preserve">only at </w:t>
            </w:r>
            <w:r w:rsidRPr="006C6C4F">
              <w:rPr>
                <w:rFonts w:ascii="Century Gothic" w:hAnsi="Century Gothic"/>
                <w:b/>
                <w:sz w:val="18"/>
                <w:szCs w:val="18"/>
              </w:rPr>
              <w:t>central migration units</w:t>
            </w:r>
            <w:r w:rsidRPr="006C6C4F">
              <w:rPr>
                <w:rFonts w:ascii="Century Gothic" w:hAnsi="Century Gothic"/>
                <w:bCs/>
                <w:sz w:val="18"/>
                <w:szCs w:val="18"/>
              </w:rPr>
              <w:t xml:space="preserve"> of the Chief Police Commissariats.</w:t>
            </w:r>
            <w:r w:rsidRPr="004C4CE9">
              <w:rPr>
                <w:rStyle w:val="FootnoteReference"/>
              </w:rPr>
              <w:footnoteReference w:id="164"/>
            </w:r>
          </w:p>
          <w:p w14:paraId="64C8909B" w14:textId="77777777" w:rsidR="004D004F" w:rsidRPr="006C6C4F" w:rsidRDefault="006611EC" w:rsidP="00AE78BA">
            <w:pPr>
              <w:pStyle w:val="ListParagraph"/>
              <w:numPr>
                <w:ilvl w:val="0"/>
                <w:numId w:val="9"/>
              </w:numPr>
              <w:ind w:left="360"/>
              <w:rPr>
                <w:rFonts w:ascii="Century Gothic" w:hAnsi="Century Gothic"/>
                <w:bCs/>
                <w:sz w:val="18"/>
                <w:szCs w:val="18"/>
              </w:rPr>
            </w:pPr>
            <w:r w:rsidRPr="006C6C4F">
              <w:rPr>
                <w:rFonts w:ascii="Century Gothic" w:hAnsi="Century Gothic"/>
                <w:bCs/>
                <w:sz w:val="18"/>
                <w:szCs w:val="18"/>
              </w:rPr>
              <w:t xml:space="preserve">The only difference for foreign investors is the requirement of advance online pre-registration for an appointment with the </w:t>
            </w:r>
            <w:r w:rsidRPr="006C6C4F">
              <w:rPr>
                <w:rFonts w:ascii="Century Gothic" w:hAnsi="Century Gothic"/>
                <w:b/>
                <w:bCs/>
                <w:sz w:val="18"/>
                <w:szCs w:val="18"/>
              </w:rPr>
              <w:t>Immigration Division at the Migration Department</w:t>
            </w:r>
            <w:r w:rsidRPr="006C6C4F">
              <w:rPr>
                <w:rFonts w:ascii="Century Gothic" w:hAnsi="Century Gothic"/>
                <w:bCs/>
                <w:sz w:val="18"/>
                <w:szCs w:val="18"/>
              </w:rPr>
              <w:t>, which is not yet available for other TRP applicants.</w:t>
            </w:r>
            <w:r w:rsidRPr="004C4CE9">
              <w:rPr>
                <w:rStyle w:val="FootnoteReference"/>
              </w:rPr>
              <w:footnoteReference w:id="165"/>
            </w:r>
          </w:p>
          <w:p w14:paraId="7D6068F1" w14:textId="77777777" w:rsidR="006611EC" w:rsidRPr="006C6C4F" w:rsidRDefault="00661C11" w:rsidP="00AE78BA">
            <w:pPr>
              <w:pStyle w:val="ListParagraph"/>
              <w:numPr>
                <w:ilvl w:val="0"/>
                <w:numId w:val="9"/>
              </w:numPr>
              <w:ind w:left="360"/>
              <w:rPr>
                <w:rFonts w:ascii="Century Gothic" w:hAnsi="Century Gothic"/>
                <w:bCs/>
                <w:sz w:val="18"/>
                <w:szCs w:val="18"/>
              </w:rPr>
            </w:pPr>
            <w:r w:rsidRPr="006C6C4F">
              <w:rPr>
                <w:rFonts w:ascii="Century Gothic" w:hAnsi="Century Gothic"/>
                <w:bCs/>
                <w:sz w:val="18"/>
                <w:szCs w:val="18"/>
              </w:rPr>
              <w:t>The Migration Department receives and considers directly the applications</w:t>
            </w:r>
            <w:r w:rsidR="00F055A5" w:rsidRPr="006C6C4F">
              <w:rPr>
                <w:rFonts w:ascii="Century Gothic" w:hAnsi="Century Gothic"/>
                <w:bCs/>
                <w:sz w:val="18"/>
                <w:szCs w:val="18"/>
              </w:rPr>
              <w:t xml:space="preserve"> for </w:t>
            </w:r>
            <w:r w:rsidR="00F055A5" w:rsidRPr="006C6C4F">
              <w:rPr>
                <w:rFonts w:ascii="Century Gothic" w:hAnsi="Century Gothic"/>
                <w:bCs/>
                <w:sz w:val="18"/>
                <w:szCs w:val="18"/>
              </w:rPr>
              <w:lastRenderedPageBreak/>
              <w:t>a TRP by foreign investors and their arriving family members.</w:t>
            </w:r>
          </w:p>
        </w:tc>
      </w:tr>
      <w:bookmarkEnd w:id="40"/>
      <w:tr w:rsidR="006611EC" w:rsidRPr="006C6C4F" w14:paraId="3608AC4C" w14:textId="77777777" w:rsidTr="008B4DE9">
        <w:tc>
          <w:tcPr>
            <w:tcW w:w="774" w:type="pct"/>
            <w:shd w:val="clear" w:color="auto" w:fill="D9D9D9" w:themeFill="background1" w:themeFillShade="D9"/>
          </w:tcPr>
          <w:p w14:paraId="7867B5DC" w14:textId="4A1D6D2E" w:rsidR="006611EC" w:rsidRPr="006C6C4F" w:rsidRDefault="008C4EE8" w:rsidP="008C4EE8">
            <w:pPr>
              <w:rPr>
                <w:rFonts w:ascii="Century Gothic" w:hAnsi="Century Gothic"/>
                <w:bCs/>
                <w:sz w:val="18"/>
                <w:szCs w:val="18"/>
              </w:rPr>
            </w:pPr>
            <w:r>
              <w:rPr>
                <w:rFonts w:ascii="Century Gothic" w:hAnsi="Century Gothic"/>
                <w:b/>
                <w:bCs/>
                <w:sz w:val="18"/>
                <w:szCs w:val="18"/>
              </w:rPr>
              <w:lastRenderedPageBreak/>
              <w:t xml:space="preserve">Medium investors: </w:t>
            </w:r>
            <w:r w:rsidR="006611EC" w:rsidRPr="006C6C4F">
              <w:rPr>
                <w:rFonts w:ascii="Century Gothic" w:hAnsi="Century Gothic"/>
                <w:b/>
                <w:bCs/>
                <w:sz w:val="18"/>
                <w:szCs w:val="18"/>
              </w:rPr>
              <w:t xml:space="preserve">Article </w:t>
            </w:r>
            <w:r w:rsidR="006611EC" w:rsidRPr="006C6C4F">
              <w:rPr>
                <w:rFonts w:ascii="Century Gothic" w:hAnsi="Century Gothic"/>
                <w:b/>
                <w:sz w:val="18"/>
                <w:szCs w:val="18"/>
              </w:rPr>
              <w:t>45.1(2</w:t>
            </w:r>
            <w:r w:rsidR="006611EC" w:rsidRPr="006C6C4F">
              <w:rPr>
                <w:rFonts w:ascii="Century Gothic" w:hAnsi="Century Gothic"/>
                <w:b/>
                <w:sz w:val="18"/>
                <w:szCs w:val="18"/>
                <w:vertAlign w:val="superscript"/>
              </w:rPr>
              <w:t>1</w:t>
            </w:r>
            <w:r w:rsidR="006611EC" w:rsidRPr="006C6C4F">
              <w:rPr>
                <w:rFonts w:ascii="Century Gothic" w:hAnsi="Century Gothic"/>
                <w:b/>
                <w:sz w:val="18"/>
                <w:szCs w:val="18"/>
              </w:rPr>
              <w:t>) LLSA</w:t>
            </w:r>
            <w:r w:rsidR="006611EC" w:rsidRPr="006C6C4F">
              <w:rPr>
                <w:rFonts w:ascii="Century Gothic" w:hAnsi="Century Gothic"/>
                <w:bCs/>
                <w:sz w:val="18"/>
                <w:szCs w:val="18"/>
              </w:rPr>
              <w:t xml:space="preserve"> Investment in the business that the foreigner runs or owns </w:t>
            </w:r>
          </w:p>
        </w:tc>
        <w:tc>
          <w:tcPr>
            <w:tcW w:w="518" w:type="pct"/>
            <w:shd w:val="clear" w:color="auto" w:fill="D9D9D9" w:themeFill="background1" w:themeFillShade="D9"/>
          </w:tcPr>
          <w:p w14:paraId="3DB8AD23" w14:textId="46F68CC5" w:rsidR="006611EC" w:rsidRPr="006C6C4F" w:rsidRDefault="006611EC" w:rsidP="00BC4342">
            <w:pPr>
              <w:rPr>
                <w:rFonts w:ascii="Century Gothic" w:hAnsi="Century Gothic"/>
                <w:bCs/>
                <w:sz w:val="18"/>
                <w:szCs w:val="18"/>
              </w:rPr>
            </w:pPr>
            <w:r w:rsidRPr="006C6C4F">
              <w:rPr>
                <w:rFonts w:ascii="Century Gothic" w:hAnsi="Century Gothic"/>
                <w:bCs/>
                <w:sz w:val="18"/>
                <w:szCs w:val="18"/>
              </w:rPr>
              <w:t xml:space="preserve">Minimum </w:t>
            </w:r>
            <w:r w:rsidR="00572813">
              <w:rPr>
                <w:rFonts w:ascii="Century Gothic" w:hAnsi="Century Gothic"/>
                <w:bCs/>
                <w:sz w:val="18"/>
                <w:szCs w:val="18"/>
              </w:rPr>
              <w:t xml:space="preserve">EUR </w:t>
            </w:r>
            <w:r w:rsidRPr="006C6C4F">
              <w:rPr>
                <w:rFonts w:ascii="Century Gothic" w:hAnsi="Century Gothic"/>
                <w:bCs/>
                <w:sz w:val="18"/>
                <w:szCs w:val="18"/>
              </w:rPr>
              <w:t xml:space="preserve">260,000. </w:t>
            </w:r>
          </w:p>
          <w:p w14:paraId="70D6E710" w14:textId="77777777" w:rsidR="006611EC" w:rsidRPr="006C6C4F" w:rsidRDefault="006611EC" w:rsidP="00BC4342">
            <w:pPr>
              <w:rPr>
                <w:rFonts w:ascii="Century Gothic" w:hAnsi="Century Gothic"/>
                <w:bCs/>
                <w:sz w:val="18"/>
                <w:szCs w:val="18"/>
              </w:rPr>
            </w:pPr>
          </w:p>
          <w:p w14:paraId="7F6B385C" w14:textId="77777777" w:rsidR="006611EC" w:rsidRPr="006C6C4F" w:rsidRDefault="006611EC" w:rsidP="00BC4342">
            <w:pPr>
              <w:rPr>
                <w:rFonts w:ascii="Century Gothic" w:hAnsi="Century Gothic"/>
                <w:bCs/>
                <w:sz w:val="18"/>
                <w:szCs w:val="18"/>
              </w:rPr>
            </w:pPr>
            <w:r w:rsidRPr="006C6C4F">
              <w:rPr>
                <w:rFonts w:ascii="Century Gothic" w:hAnsi="Century Gothic"/>
                <w:bCs/>
                <w:sz w:val="18"/>
                <w:szCs w:val="18"/>
              </w:rPr>
              <w:t>The investor must own at least 1/3 of the nominal value of the registered share capital in such a joint stock company.</w:t>
            </w:r>
          </w:p>
        </w:tc>
        <w:tc>
          <w:tcPr>
            <w:tcW w:w="2655" w:type="pct"/>
            <w:shd w:val="clear" w:color="auto" w:fill="D9D9D9" w:themeFill="background1" w:themeFillShade="D9"/>
          </w:tcPr>
          <w:p w14:paraId="4F5E22D3" w14:textId="77777777" w:rsidR="006611EC" w:rsidRPr="006C6C4F" w:rsidRDefault="006611EC" w:rsidP="004C4CE9">
            <w:pPr>
              <w:pStyle w:val="ListParagraph"/>
              <w:numPr>
                <w:ilvl w:val="0"/>
                <w:numId w:val="15"/>
              </w:numPr>
              <w:jc w:val="left"/>
              <w:rPr>
                <w:rFonts w:ascii="Century Gothic" w:hAnsi="Century Gothic"/>
                <w:bCs/>
                <w:sz w:val="18"/>
                <w:szCs w:val="18"/>
              </w:rPr>
            </w:pPr>
            <w:r w:rsidRPr="006C6C4F">
              <w:rPr>
                <w:rFonts w:ascii="Century Gothic" w:hAnsi="Century Gothic"/>
                <w:bCs/>
                <w:sz w:val="18"/>
                <w:szCs w:val="18"/>
              </w:rPr>
              <w:t>The checks of personal investment are carried out firstly during the lodging of an application for issue/renewal of a TRP (Stage 1).</w:t>
            </w:r>
          </w:p>
          <w:p w14:paraId="696AC6CD" w14:textId="77777777" w:rsidR="00222C31" w:rsidRPr="006C6C4F" w:rsidRDefault="006611EC" w:rsidP="004C4CE9">
            <w:pPr>
              <w:pStyle w:val="ListParagraph"/>
              <w:numPr>
                <w:ilvl w:val="0"/>
                <w:numId w:val="15"/>
              </w:numPr>
              <w:contextualSpacing w:val="0"/>
              <w:jc w:val="left"/>
              <w:rPr>
                <w:rFonts w:ascii="Century Gothic" w:hAnsi="Century Gothic"/>
                <w:b/>
                <w:bCs/>
                <w:sz w:val="18"/>
                <w:szCs w:val="18"/>
              </w:rPr>
            </w:pPr>
            <w:r w:rsidRPr="006C6C4F">
              <w:rPr>
                <w:rFonts w:ascii="Century Gothic" w:hAnsi="Century Gothic"/>
                <w:bCs/>
                <w:sz w:val="18"/>
                <w:szCs w:val="18"/>
              </w:rPr>
              <w:t>The checks for personal investment are carried out at the time of a TRP application</w:t>
            </w:r>
            <w:r w:rsidR="00222C31" w:rsidRPr="006C6C4F">
              <w:rPr>
                <w:rFonts w:ascii="Century Gothic" w:hAnsi="Century Gothic"/>
                <w:bCs/>
                <w:sz w:val="18"/>
                <w:szCs w:val="18"/>
              </w:rPr>
              <w:t xml:space="preserve"> to issue/renew a TRP (Stage 1)</w:t>
            </w:r>
            <w:r w:rsidRPr="006C6C4F">
              <w:rPr>
                <w:rFonts w:ascii="Century Gothic" w:hAnsi="Century Gothic"/>
                <w:bCs/>
                <w:sz w:val="18"/>
                <w:szCs w:val="18"/>
              </w:rPr>
              <w:t>.</w:t>
            </w:r>
            <w:r w:rsidR="007477DB" w:rsidRPr="004C4CE9">
              <w:rPr>
                <w:rStyle w:val="FootnoteReference"/>
              </w:rPr>
              <w:footnoteReference w:id="166"/>
            </w:r>
          </w:p>
          <w:p w14:paraId="4059919F" w14:textId="752A5653" w:rsidR="006611EC" w:rsidRPr="006C6C4F" w:rsidRDefault="00512264" w:rsidP="004C4CE9">
            <w:pPr>
              <w:pStyle w:val="ListParagraph"/>
              <w:numPr>
                <w:ilvl w:val="0"/>
                <w:numId w:val="15"/>
              </w:numPr>
              <w:contextualSpacing w:val="0"/>
              <w:jc w:val="left"/>
              <w:rPr>
                <w:rFonts w:ascii="Century Gothic" w:hAnsi="Century Gothic"/>
                <w:b/>
                <w:bCs/>
                <w:sz w:val="18"/>
                <w:szCs w:val="18"/>
              </w:rPr>
            </w:pPr>
            <w:bookmarkStart w:id="42" w:name="_Hlk517204625"/>
            <w:r w:rsidRPr="006C6C4F">
              <w:rPr>
                <w:rFonts w:ascii="Century Gothic" w:hAnsi="Century Gothic"/>
                <w:bCs/>
                <w:sz w:val="18"/>
                <w:szCs w:val="18"/>
              </w:rPr>
              <w:t>The fictitious company (genuine business presence) checks are carried out at the stage of a TRP application (Stage 1)</w:t>
            </w:r>
            <w:r w:rsidRPr="004C4CE9">
              <w:rPr>
                <w:rStyle w:val="FootnoteReference"/>
              </w:rPr>
              <w:footnoteReference w:id="167"/>
            </w:r>
            <w:r w:rsidRPr="006C6C4F">
              <w:rPr>
                <w:rFonts w:ascii="Century Gothic" w:hAnsi="Century Gothic"/>
                <w:bCs/>
                <w:sz w:val="18"/>
                <w:szCs w:val="18"/>
              </w:rPr>
              <w:t xml:space="preserve"> and </w:t>
            </w:r>
            <w:r w:rsidR="004F042E" w:rsidRPr="006C6C4F">
              <w:rPr>
                <w:rFonts w:ascii="Century Gothic" w:hAnsi="Century Gothic"/>
                <w:bCs/>
                <w:sz w:val="18"/>
                <w:szCs w:val="18"/>
              </w:rPr>
              <w:t xml:space="preserve">at </w:t>
            </w:r>
            <w:r w:rsidRPr="006C6C4F">
              <w:rPr>
                <w:rFonts w:ascii="Century Gothic" w:hAnsi="Century Gothic"/>
                <w:bCs/>
                <w:sz w:val="18"/>
                <w:szCs w:val="18"/>
              </w:rPr>
              <w:t>the examination of the application (Stage 2);</w:t>
            </w:r>
            <w:r w:rsidRPr="004C4CE9">
              <w:rPr>
                <w:rStyle w:val="FootnoteReference"/>
              </w:rPr>
              <w:footnoteReference w:id="168"/>
            </w:r>
            <w:r w:rsidRPr="006C6C4F">
              <w:rPr>
                <w:rFonts w:ascii="Century Gothic" w:hAnsi="Century Gothic"/>
                <w:bCs/>
                <w:sz w:val="18"/>
                <w:szCs w:val="18"/>
              </w:rPr>
              <w:t xml:space="preserve"> they can be also carried out later, after a TRP had been granted.</w:t>
            </w:r>
            <w:r w:rsidRPr="004C4CE9">
              <w:rPr>
                <w:rStyle w:val="FootnoteReference"/>
              </w:rPr>
              <w:footnoteReference w:id="169"/>
            </w:r>
            <w:bookmarkEnd w:id="42"/>
          </w:p>
          <w:p w14:paraId="473450DC" w14:textId="77777777" w:rsidR="006611EC" w:rsidRPr="006C6C4F" w:rsidRDefault="006611EC" w:rsidP="004C4CE9">
            <w:pPr>
              <w:pStyle w:val="ListParagraph"/>
              <w:numPr>
                <w:ilvl w:val="0"/>
                <w:numId w:val="15"/>
              </w:numPr>
              <w:rPr>
                <w:rFonts w:ascii="Century Gothic" w:hAnsi="Century Gothic"/>
                <w:bCs/>
                <w:sz w:val="18"/>
                <w:szCs w:val="18"/>
              </w:rPr>
            </w:pPr>
            <w:r w:rsidRPr="006C6C4F">
              <w:rPr>
                <w:rFonts w:ascii="Century Gothic" w:hAnsi="Century Gothic"/>
                <w:sz w:val="18"/>
                <w:szCs w:val="18"/>
              </w:rPr>
              <w:t>The law does not specify that the investment should include a cash payment.</w:t>
            </w:r>
          </w:p>
          <w:p w14:paraId="3D0EE86E" w14:textId="77777777" w:rsidR="006611EC" w:rsidRPr="006C6C4F" w:rsidRDefault="006611EC" w:rsidP="004C4CE9">
            <w:pPr>
              <w:pStyle w:val="ListParagraph"/>
              <w:numPr>
                <w:ilvl w:val="0"/>
                <w:numId w:val="15"/>
              </w:numPr>
              <w:rPr>
                <w:rFonts w:ascii="Century Gothic" w:hAnsi="Century Gothic"/>
                <w:bCs/>
                <w:sz w:val="18"/>
                <w:szCs w:val="18"/>
              </w:rPr>
            </w:pPr>
            <w:r w:rsidRPr="006C6C4F">
              <w:rPr>
                <w:rFonts w:ascii="Century Gothic" w:hAnsi="Century Gothic"/>
                <w:bCs/>
                <w:sz w:val="18"/>
                <w:szCs w:val="18"/>
              </w:rPr>
              <w:t>To prove that the investment requirement is fulfilled, the following evidence should be presented (</w:t>
            </w:r>
            <w:r w:rsidRPr="006C6C4F">
              <w:rPr>
                <w:rFonts w:ascii="Century Gothic" w:hAnsi="Century Gothic"/>
                <w:b/>
                <w:bCs/>
                <w:sz w:val="18"/>
                <w:szCs w:val="18"/>
              </w:rPr>
              <w:t>Article 24.21</w:t>
            </w:r>
            <w:r w:rsidRPr="006C6C4F">
              <w:rPr>
                <w:rFonts w:ascii="Century Gothic" w:hAnsi="Century Gothic"/>
                <w:b/>
                <w:bCs/>
                <w:sz w:val="18"/>
                <w:szCs w:val="18"/>
                <w:vertAlign w:val="superscript"/>
              </w:rPr>
              <w:t>1</w:t>
            </w:r>
            <w:r w:rsidRPr="006C6C4F">
              <w:rPr>
                <w:rFonts w:ascii="Century Gothic" w:hAnsi="Century Gothic"/>
                <w:b/>
                <w:bCs/>
                <w:sz w:val="18"/>
                <w:szCs w:val="18"/>
              </w:rPr>
              <w:t xml:space="preserve"> TRP Rules</w:t>
            </w:r>
            <w:r w:rsidRPr="006C6C4F">
              <w:rPr>
                <w:rFonts w:ascii="Century Gothic" w:hAnsi="Century Gothic"/>
                <w:bCs/>
                <w:sz w:val="18"/>
                <w:szCs w:val="18"/>
              </w:rPr>
              <w:t>):</w:t>
            </w:r>
          </w:p>
          <w:p w14:paraId="7FF79C00" w14:textId="77777777" w:rsidR="006611EC" w:rsidRPr="00E42050" w:rsidRDefault="006611EC" w:rsidP="00E42050">
            <w:pPr>
              <w:pStyle w:val="MMultileveltable"/>
              <w:numPr>
                <w:ilvl w:val="1"/>
                <w:numId w:val="5"/>
              </w:numPr>
              <w:rPr>
                <w:rFonts w:ascii="Century Gothic" w:hAnsi="Century Gothic"/>
                <w:sz w:val="18"/>
              </w:rPr>
            </w:pPr>
            <w:r w:rsidRPr="00E42050">
              <w:rPr>
                <w:rFonts w:ascii="Century Gothic" w:hAnsi="Century Gothic"/>
                <w:sz w:val="18"/>
              </w:rPr>
              <w:t>Company’s establishment/purchase documents and company’s articles of association;</w:t>
            </w:r>
          </w:p>
          <w:p w14:paraId="5928963F" w14:textId="54256BCF" w:rsidR="006611EC" w:rsidRPr="00E42050" w:rsidRDefault="006611EC" w:rsidP="00E42050">
            <w:pPr>
              <w:pStyle w:val="MMultileveltable"/>
              <w:numPr>
                <w:ilvl w:val="1"/>
                <w:numId w:val="5"/>
              </w:numPr>
              <w:rPr>
                <w:rFonts w:ascii="Century Gothic" w:hAnsi="Century Gothic"/>
                <w:sz w:val="18"/>
              </w:rPr>
            </w:pPr>
            <w:bookmarkStart w:id="43" w:name="_Hlk517204324"/>
            <w:r w:rsidRPr="00E42050">
              <w:rPr>
                <w:rFonts w:ascii="Century Gothic" w:hAnsi="Century Gothic"/>
                <w:sz w:val="18"/>
              </w:rPr>
              <w:t xml:space="preserve">Documents confirming that 6 months prior to the application for TRP the company was commercially active in Lithuania (e.g. business plan, contracts with suppliers or clients; company’s bank account statements; annual corporate tax declaration; contract for hire of business premised etc); </w:t>
            </w:r>
            <w:bookmarkEnd w:id="43"/>
          </w:p>
          <w:p w14:paraId="0518DE9C" w14:textId="77777777" w:rsidR="006611EC" w:rsidRPr="00E42050" w:rsidRDefault="006611EC" w:rsidP="00E42050">
            <w:pPr>
              <w:pStyle w:val="MMultileveltable"/>
              <w:numPr>
                <w:ilvl w:val="1"/>
                <w:numId w:val="5"/>
              </w:numPr>
              <w:rPr>
                <w:rFonts w:ascii="Century Gothic" w:hAnsi="Century Gothic"/>
                <w:sz w:val="18"/>
              </w:rPr>
            </w:pPr>
            <w:r w:rsidRPr="00E42050">
              <w:rPr>
                <w:rFonts w:ascii="Century Gothic" w:hAnsi="Century Gothic"/>
                <w:sz w:val="18"/>
              </w:rPr>
              <w:t xml:space="preserve">Documents evidencing that it employs at least five full-time employees </w:t>
            </w:r>
            <w:r w:rsidRPr="00E42050">
              <w:rPr>
                <w:rFonts w:ascii="Century Gothic" w:hAnsi="Century Gothic"/>
                <w:sz w:val="18"/>
              </w:rPr>
              <w:lastRenderedPageBreak/>
              <w:t>(e.g. employment contracts). The Information system of the State Social Insurance Fund Board is consulted to confirm there are full-time work posts in the company and how many employees work there (Article 44.9.2 TRP Rules).</w:t>
            </w:r>
          </w:p>
          <w:p w14:paraId="2620B37B" w14:textId="77777777" w:rsidR="006611EC" w:rsidRPr="00E42050" w:rsidRDefault="006611EC" w:rsidP="00E42050">
            <w:pPr>
              <w:pStyle w:val="MMultileveltable"/>
              <w:numPr>
                <w:ilvl w:val="1"/>
                <w:numId w:val="5"/>
              </w:numPr>
              <w:rPr>
                <w:rFonts w:ascii="Century Gothic" w:hAnsi="Century Gothic"/>
                <w:sz w:val="18"/>
              </w:rPr>
            </w:pPr>
            <w:r w:rsidRPr="00E42050">
              <w:rPr>
                <w:rFonts w:ascii="Century Gothic" w:hAnsi="Century Gothic"/>
                <w:sz w:val="18"/>
              </w:rPr>
              <w:t>Documents evidencing that the share capital (if a joint stock company) or the value of the overall business assets is at least 28,000 euro, from which at least 14,000 euro is the investor’s personal investment (e.g. financial accounts; the balance sheet);</w:t>
            </w:r>
          </w:p>
          <w:p w14:paraId="4F9240FC" w14:textId="676EF032" w:rsidR="006611EC" w:rsidRPr="006C6C4F" w:rsidRDefault="006611EC" w:rsidP="00E42050">
            <w:pPr>
              <w:pStyle w:val="MMultileveltable"/>
              <w:numPr>
                <w:ilvl w:val="1"/>
                <w:numId w:val="5"/>
              </w:numPr>
              <w:rPr>
                <w:rFonts w:ascii="Century Gothic" w:hAnsi="Century Gothic"/>
                <w:bCs w:val="0"/>
                <w:sz w:val="18"/>
                <w:szCs w:val="18"/>
              </w:rPr>
            </w:pPr>
            <w:r w:rsidRPr="00E42050">
              <w:rPr>
                <w:rFonts w:ascii="Century Gothic" w:hAnsi="Century Gothic"/>
                <w:sz w:val="18"/>
              </w:rPr>
              <w:t xml:space="preserve">Documents evidencing that the foreigner </w:t>
            </w:r>
            <w:r w:rsidR="00AA1AF2" w:rsidRPr="00E42050">
              <w:rPr>
                <w:rFonts w:ascii="Century Gothic" w:hAnsi="Century Gothic"/>
                <w:sz w:val="18"/>
              </w:rPr>
              <w:t>participates in the company (either as “manager of the enterprise”</w:t>
            </w:r>
            <w:r w:rsidRPr="00E42050">
              <w:rPr>
                <w:rFonts w:ascii="Century Gothic" w:hAnsi="Century Gothic"/>
                <w:sz w:val="18"/>
              </w:rPr>
              <w:t>, or a</w:t>
            </w:r>
            <w:r w:rsidR="00AA1AF2" w:rsidRPr="00E42050">
              <w:rPr>
                <w:rFonts w:ascii="Century Gothic" w:hAnsi="Century Gothic"/>
                <w:sz w:val="18"/>
              </w:rPr>
              <w:t>s a</w:t>
            </w:r>
            <w:r w:rsidRPr="00E42050">
              <w:rPr>
                <w:rFonts w:ascii="Century Gothic" w:hAnsi="Century Gothic"/>
                <w:sz w:val="18"/>
              </w:rPr>
              <w:t xml:space="preserve"> shareholder who owns at least 1/3 of the nominal value of the registered company’s share capital</w:t>
            </w:r>
            <w:r w:rsidR="00AA1AF2" w:rsidRPr="00E42050">
              <w:rPr>
                <w:rFonts w:ascii="Century Gothic" w:hAnsi="Century Gothic"/>
                <w:sz w:val="18"/>
              </w:rPr>
              <w:t>)</w:t>
            </w:r>
            <w:r w:rsidRPr="00E42050">
              <w:rPr>
                <w:rFonts w:ascii="Century Gothic" w:hAnsi="Century Gothic"/>
                <w:sz w:val="18"/>
              </w:rPr>
              <w:t xml:space="preserve">. </w:t>
            </w:r>
            <w:r w:rsidR="00AA1AF2" w:rsidRPr="00E42050">
              <w:rPr>
                <w:rFonts w:ascii="Century Gothic" w:hAnsi="Century Gothic"/>
                <w:sz w:val="18"/>
              </w:rPr>
              <w:t xml:space="preserve">For such purposes, the </w:t>
            </w:r>
            <w:r w:rsidRPr="00E42050">
              <w:rPr>
                <w:rFonts w:ascii="Century Gothic" w:hAnsi="Century Gothic"/>
                <w:sz w:val="18"/>
              </w:rPr>
              <w:t>Register of Legal Entities is also checked (Article 44.9.1 TRP Rules).</w:t>
            </w:r>
          </w:p>
        </w:tc>
        <w:tc>
          <w:tcPr>
            <w:tcW w:w="1053" w:type="pct"/>
            <w:vMerge/>
            <w:shd w:val="clear" w:color="auto" w:fill="D9D9D9" w:themeFill="background1" w:themeFillShade="D9"/>
          </w:tcPr>
          <w:p w14:paraId="38D3F271" w14:textId="77777777" w:rsidR="006611EC" w:rsidRPr="006C6C4F" w:rsidRDefault="006611EC" w:rsidP="00BC4342">
            <w:pPr>
              <w:rPr>
                <w:rFonts w:ascii="Century Gothic" w:hAnsi="Century Gothic"/>
                <w:bCs/>
                <w:sz w:val="18"/>
                <w:szCs w:val="18"/>
              </w:rPr>
            </w:pPr>
          </w:p>
        </w:tc>
      </w:tr>
    </w:tbl>
    <w:p w14:paraId="05C6B1E2" w14:textId="77777777" w:rsidR="009E6A2B" w:rsidRPr="006C6C4F" w:rsidRDefault="009E6A2B" w:rsidP="002636C6">
      <w:pPr>
        <w:pStyle w:val="MBT"/>
        <w:rPr>
          <w:color w:val="FF0000"/>
          <w:lang w:val="en-GB"/>
        </w:rPr>
      </w:pPr>
    </w:p>
    <w:p w14:paraId="2FCB4836" w14:textId="77777777" w:rsidR="00B311A7" w:rsidRPr="006C6C4F" w:rsidRDefault="00B311A7" w:rsidP="001C1E15">
      <w:pPr>
        <w:pStyle w:val="MBT"/>
        <w:rPr>
          <w:lang w:val="en-GB"/>
        </w:rPr>
      </w:pPr>
    </w:p>
    <w:p w14:paraId="249E0E5E" w14:textId="77777777" w:rsidR="00B311A7" w:rsidRPr="006C6C4F" w:rsidRDefault="00B311A7" w:rsidP="00E42050">
      <w:pPr>
        <w:pStyle w:val="MH1"/>
        <w:pageBreakBefore w:val="0"/>
        <w:ind w:left="431" w:hanging="431"/>
      </w:pPr>
      <w:bookmarkStart w:id="44" w:name="_Toc496025536"/>
      <w:bookmarkStart w:id="45" w:name="_Toc522130160"/>
      <w:r w:rsidRPr="006C6C4F">
        <w:t>Residence Phase</w:t>
      </w:r>
      <w:bookmarkEnd w:id="44"/>
      <w:bookmarkEnd w:id="45"/>
    </w:p>
    <w:tbl>
      <w:tblPr>
        <w:tblStyle w:val="TableGrid"/>
        <w:tblW w:w="4989"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1669"/>
        <w:gridCol w:w="6093"/>
        <w:gridCol w:w="3120"/>
        <w:gridCol w:w="3261"/>
      </w:tblGrid>
      <w:tr w:rsidR="00276061" w:rsidRPr="006C6C4F" w14:paraId="05D2C42C" w14:textId="77777777" w:rsidTr="00E42050">
        <w:trPr>
          <w:tblHeader/>
        </w:trPr>
        <w:tc>
          <w:tcPr>
            <w:tcW w:w="590" w:type="pct"/>
            <w:shd w:val="clear" w:color="auto" w:fill="95B3D7" w:themeFill="accent1" w:themeFillTint="99"/>
            <w:vAlign w:val="center"/>
          </w:tcPr>
          <w:p w14:paraId="5E9A0250" w14:textId="77777777" w:rsidR="00276061" w:rsidRPr="006C6C4F" w:rsidRDefault="00276061" w:rsidP="00E42050">
            <w:pPr>
              <w:jc w:val="center"/>
              <w:rPr>
                <w:rFonts w:ascii="Century Gothic" w:hAnsi="Century Gothic"/>
                <w:b/>
                <w:bCs/>
                <w:sz w:val="18"/>
                <w:szCs w:val="18"/>
              </w:rPr>
            </w:pPr>
            <w:bookmarkStart w:id="46" w:name="_Hlk496122469"/>
            <w:r w:rsidRPr="006C6C4F">
              <w:rPr>
                <w:rFonts w:ascii="Century Gothic" w:hAnsi="Century Gothic"/>
                <w:b/>
                <w:bCs/>
                <w:sz w:val="18"/>
                <w:szCs w:val="18"/>
              </w:rPr>
              <w:t>Residence permit</w:t>
            </w:r>
          </w:p>
        </w:tc>
        <w:tc>
          <w:tcPr>
            <w:tcW w:w="2154" w:type="pct"/>
            <w:shd w:val="clear" w:color="auto" w:fill="95B3D7" w:themeFill="accent1" w:themeFillTint="99"/>
            <w:vAlign w:val="center"/>
          </w:tcPr>
          <w:p w14:paraId="5557B2EB" w14:textId="77777777" w:rsidR="00276061" w:rsidRPr="006C6C4F" w:rsidRDefault="00276061" w:rsidP="00E42050">
            <w:pPr>
              <w:jc w:val="center"/>
              <w:rPr>
                <w:rFonts w:ascii="Century Gothic" w:hAnsi="Century Gothic"/>
                <w:b/>
                <w:bCs/>
                <w:sz w:val="18"/>
                <w:szCs w:val="18"/>
              </w:rPr>
            </w:pPr>
            <w:r w:rsidRPr="006C6C4F">
              <w:rPr>
                <w:rFonts w:ascii="Century Gothic" w:hAnsi="Century Gothic"/>
                <w:b/>
                <w:bCs/>
                <w:sz w:val="18"/>
                <w:szCs w:val="18"/>
              </w:rPr>
              <w:t>Procedure</w:t>
            </w:r>
          </w:p>
        </w:tc>
        <w:tc>
          <w:tcPr>
            <w:tcW w:w="1103" w:type="pct"/>
            <w:shd w:val="clear" w:color="auto" w:fill="95B3D7" w:themeFill="accent1" w:themeFillTint="99"/>
            <w:vAlign w:val="center"/>
          </w:tcPr>
          <w:p w14:paraId="2077C4E1" w14:textId="77777777" w:rsidR="00276061" w:rsidRPr="006C6C4F" w:rsidRDefault="00276061" w:rsidP="00E42050">
            <w:pPr>
              <w:jc w:val="center"/>
              <w:rPr>
                <w:rFonts w:ascii="Century Gothic" w:hAnsi="Century Gothic"/>
                <w:b/>
                <w:bCs/>
                <w:sz w:val="18"/>
                <w:szCs w:val="18"/>
              </w:rPr>
            </w:pPr>
            <w:r w:rsidRPr="006C6C4F">
              <w:rPr>
                <w:rFonts w:ascii="Century Gothic" w:hAnsi="Century Gothic"/>
                <w:b/>
                <w:bCs/>
                <w:sz w:val="18"/>
                <w:szCs w:val="18"/>
              </w:rPr>
              <w:t>Competent authorities and non-public bodies</w:t>
            </w:r>
          </w:p>
        </w:tc>
        <w:tc>
          <w:tcPr>
            <w:tcW w:w="1153" w:type="pct"/>
            <w:shd w:val="clear" w:color="auto" w:fill="95B3D7" w:themeFill="accent1" w:themeFillTint="99"/>
            <w:vAlign w:val="center"/>
          </w:tcPr>
          <w:p w14:paraId="2DC8A79C" w14:textId="77777777" w:rsidR="00276061" w:rsidRPr="006C6C4F" w:rsidRDefault="00276061" w:rsidP="00E42050">
            <w:pPr>
              <w:jc w:val="center"/>
              <w:rPr>
                <w:rFonts w:ascii="Century Gothic" w:hAnsi="Century Gothic"/>
                <w:b/>
                <w:bCs/>
                <w:sz w:val="18"/>
                <w:szCs w:val="18"/>
              </w:rPr>
            </w:pPr>
            <w:r w:rsidRPr="006C6C4F">
              <w:rPr>
                <w:rFonts w:ascii="Century Gothic" w:hAnsi="Century Gothic"/>
                <w:b/>
                <w:bCs/>
                <w:sz w:val="18"/>
                <w:szCs w:val="18"/>
              </w:rPr>
              <w:t>Renewal of the residence permit</w:t>
            </w:r>
          </w:p>
        </w:tc>
      </w:tr>
      <w:tr w:rsidR="00276061" w:rsidRPr="006C6C4F" w14:paraId="06CA5F5C" w14:textId="77777777" w:rsidTr="00E42050">
        <w:tc>
          <w:tcPr>
            <w:tcW w:w="590" w:type="pct"/>
            <w:shd w:val="clear" w:color="auto" w:fill="D9D9D9" w:themeFill="background1" w:themeFillShade="D9"/>
          </w:tcPr>
          <w:p w14:paraId="01BC7DD1" w14:textId="72B64B88" w:rsidR="00276061" w:rsidRPr="006C6C4F" w:rsidRDefault="00276061" w:rsidP="00BC4342">
            <w:pPr>
              <w:rPr>
                <w:rFonts w:ascii="Century Gothic" w:hAnsi="Century Gothic"/>
                <w:bCs/>
                <w:sz w:val="18"/>
                <w:szCs w:val="18"/>
              </w:rPr>
            </w:pPr>
            <w:r w:rsidRPr="006C6C4F">
              <w:rPr>
                <w:rFonts w:ascii="Century Gothic" w:hAnsi="Century Gothic"/>
                <w:b/>
                <w:bCs/>
                <w:sz w:val="18"/>
                <w:szCs w:val="18"/>
              </w:rPr>
              <w:t>Article 45.2 LLSA</w:t>
            </w:r>
            <w:r w:rsidRPr="006C6C4F">
              <w:rPr>
                <w:rFonts w:ascii="Century Gothic" w:hAnsi="Century Gothic"/>
                <w:bCs/>
                <w:sz w:val="18"/>
                <w:szCs w:val="18"/>
              </w:rPr>
              <w:t xml:space="preserve">: </w:t>
            </w:r>
            <w:r w:rsidRPr="004C4CE9">
              <w:rPr>
                <w:rFonts w:ascii="Century Gothic" w:hAnsi="Century Gothic"/>
                <w:b/>
                <w:bCs/>
                <w:sz w:val="18"/>
                <w:szCs w:val="18"/>
              </w:rPr>
              <w:t>TRP for small investors</w:t>
            </w:r>
            <w:r w:rsidRPr="006C6C4F">
              <w:rPr>
                <w:rFonts w:ascii="Century Gothic" w:hAnsi="Century Gothic"/>
                <w:bCs/>
                <w:sz w:val="18"/>
                <w:szCs w:val="18"/>
              </w:rPr>
              <w:t xml:space="preserve">: </w:t>
            </w:r>
            <w:r w:rsidR="001D6212">
              <w:rPr>
                <w:rFonts w:ascii="Century Gothic" w:hAnsi="Century Gothic"/>
                <w:bCs/>
                <w:sz w:val="18"/>
                <w:szCs w:val="18"/>
              </w:rPr>
              <w:t xml:space="preserve">issued for </w:t>
            </w:r>
          </w:p>
          <w:p w14:paraId="37336663" w14:textId="77777777" w:rsidR="00276061" w:rsidRPr="006C6C4F" w:rsidRDefault="00276061" w:rsidP="00BC4342">
            <w:pPr>
              <w:rPr>
                <w:rFonts w:ascii="Century Gothic" w:hAnsi="Century Gothic"/>
                <w:bCs/>
                <w:sz w:val="18"/>
                <w:szCs w:val="18"/>
              </w:rPr>
            </w:pPr>
            <w:r w:rsidRPr="006C6C4F">
              <w:rPr>
                <w:rFonts w:ascii="Century Gothic" w:hAnsi="Century Gothic"/>
                <w:b/>
                <w:bCs/>
                <w:sz w:val="18"/>
                <w:szCs w:val="18"/>
              </w:rPr>
              <w:t>2 years</w:t>
            </w:r>
            <w:r w:rsidRPr="006C6C4F">
              <w:rPr>
                <w:rFonts w:ascii="Century Gothic" w:hAnsi="Century Gothic"/>
                <w:bCs/>
                <w:sz w:val="18"/>
                <w:szCs w:val="18"/>
              </w:rPr>
              <w:t>, or for the duration of the business activity, when such activity lasts less than 2 years.</w:t>
            </w:r>
          </w:p>
          <w:p w14:paraId="49EBA4EE" w14:textId="77777777" w:rsidR="00276061" w:rsidRPr="006C6C4F" w:rsidRDefault="00276061" w:rsidP="00BC4342">
            <w:pPr>
              <w:rPr>
                <w:rFonts w:ascii="Century Gothic" w:hAnsi="Century Gothic"/>
                <w:bCs/>
                <w:sz w:val="18"/>
                <w:szCs w:val="18"/>
              </w:rPr>
            </w:pPr>
          </w:p>
          <w:p w14:paraId="70231B72" w14:textId="77777777" w:rsidR="006378B5" w:rsidRPr="006C6C4F" w:rsidRDefault="006378B5" w:rsidP="00BC4342">
            <w:pPr>
              <w:rPr>
                <w:rFonts w:ascii="Century Gothic" w:hAnsi="Century Gothic"/>
                <w:bCs/>
                <w:sz w:val="18"/>
                <w:szCs w:val="18"/>
              </w:rPr>
            </w:pPr>
          </w:p>
        </w:tc>
        <w:tc>
          <w:tcPr>
            <w:tcW w:w="2154" w:type="pct"/>
            <w:vMerge w:val="restart"/>
            <w:shd w:val="clear" w:color="auto" w:fill="D9D9D9" w:themeFill="background1" w:themeFillShade="D9"/>
          </w:tcPr>
          <w:p w14:paraId="0DE0CE37" w14:textId="77777777" w:rsidR="00276061" w:rsidRPr="006C6C4F" w:rsidRDefault="00276061" w:rsidP="007A7975">
            <w:pPr>
              <w:pStyle w:val="ListParagraph"/>
              <w:numPr>
                <w:ilvl w:val="0"/>
                <w:numId w:val="24"/>
              </w:numPr>
              <w:tabs>
                <w:tab w:val="num" w:pos="360"/>
              </w:tabs>
              <w:rPr>
                <w:rFonts w:ascii="Century Gothic" w:hAnsi="Century Gothic"/>
                <w:bCs/>
                <w:sz w:val="18"/>
                <w:szCs w:val="18"/>
              </w:rPr>
            </w:pPr>
            <w:r w:rsidRPr="006C6C4F">
              <w:rPr>
                <w:rFonts w:ascii="Century Gothic" w:hAnsi="Century Gothic"/>
                <w:bCs/>
                <w:sz w:val="18"/>
                <w:szCs w:val="18"/>
              </w:rPr>
              <w:lastRenderedPageBreak/>
              <w:t>Application for a TRP can be filed either when the foreign investor legally resides abroad or in Lithuania (Articles 28.2 and 28.3 LLSA)</w:t>
            </w:r>
          </w:p>
          <w:p w14:paraId="0453D9BE" w14:textId="2612E5C9" w:rsidR="00276061" w:rsidRPr="006C6C4F" w:rsidRDefault="00276061" w:rsidP="007A7975">
            <w:pPr>
              <w:pStyle w:val="ListParagraph"/>
              <w:numPr>
                <w:ilvl w:val="0"/>
                <w:numId w:val="24"/>
              </w:numPr>
              <w:tabs>
                <w:tab w:val="num" w:pos="360"/>
              </w:tabs>
              <w:rPr>
                <w:rFonts w:ascii="Century Gothic" w:hAnsi="Century Gothic"/>
                <w:bCs/>
                <w:sz w:val="18"/>
                <w:szCs w:val="18"/>
              </w:rPr>
            </w:pPr>
            <w:r w:rsidRPr="006C6C4F">
              <w:rPr>
                <w:rFonts w:ascii="Century Gothic" w:hAnsi="Century Gothic"/>
                <w:bCs/>
                <w:sz w:val="18"/>
                <w:szCs w:val="18"/>
              </w:rPr>
              <w:t xml:space="preserve">To obtain a TRP, there is no need to prove </w:t>
            </w:r>
            <w:r w:rsidR="001D6212">
              <w:rPr>
                <w:rFonts w:ascii="Century Gothic" w:hAnsi="Century Gothic"/>
                <w:bCs/>
                <w:sz w:val="18"/>
                <w:szCs w:val="18"/>
              </w:rPr>
              <w:t xml:space="preserve">a </w:t>
            </w:r>
            <w:r w:rsidRPr="006C6C4F">
              <w:rPr>
                <w:rFonts w:ascii="Century Gothic" w:hAnsi="Century Gothic"/>
                <w:bCs/>
                <w:sz w:val="18"/>
                <w:szCs w:val="18"/>
              </w:rPr>
              <w:t xml:space="preserve">certain length of residence in Lithuania for investors themselves. Instead, the law sets the requirements for the investors’ active </w:t>
            </w:r>
            <w:r w:rsidRPr="006C6C4F">
              <w:rPr>
                <w:rFonts w:ascii="Century Gothic" w:hAnsi="Century Gothic"/>
                <w:b/>
                <w:bCs/>
                <w:sz w:val="18"/>
                <w:szCs w:val="18"/>
              </w:rPr>
              <w:t>business presence</w:t>
            </w:r>
            <w:r w:rsidRPr="006C6C4F">
              <w:rPr>
                <w:rFonts w:ascii="Century Gothic" w:hAnsi="Century Gothic"/>
                <w:bCs/>
                <w:sz w:val="18"/>
                <w:szCs w:val="18"/>
              </w:rPr>
              <w:t xml:space="preserve"> </w:t>
            </w:r>
            <w:r w:rsidR="00D23054" w:rsidRPr="006C6C4F">
              <w:rPr>
                <w:rFonts w:ascii="Century Gothic" w:hAnsi="Century Gothic"/>
                <w:bCs/>
                <w:sz w:val="18"/>
                <w:szCs w:val="18"/>
              </w:rPr>
              <w:t xml:space="preserve">in Lithuania </w:t>
            </w:r>
            <w:r w:rsidRPr="006C6C4F">
              <w:rPr>
                <w:rFonts w:ascii="Century Gothic" w:hAnsi="Century Gothic"/>
                <w:bCs/>
                <w:sz w:val="18"/>
                <w:szCs w:val="18"/>
              </w:rPr>
              <w:t>for at least the last 6 months.</w:t>
            </w:r>
            <w:r w:rsidRPr="004C4CE9">
              <w:rPr>
                <w:rStyle w:val="FootnoteReference"/>
              </w:rPr>
              <w:footnoteReference w:id="170"/>
            </w:r>
            <w:r w:rsidRPr="006C6C4F">
              <w:rPr>
                <w:rFonts w:ascii="Century Gothic" w:hAnsi="Century Gothic"/>
                <w:bCs/>
                <w:sz w:val="18"/>
                <w:szCs w:val="18"/>
              </w:rPr>
              <w:t xml:space="preserve"> There is also a requirement to provide documentation that the investor found </w:t>
            </w:r>
            <w:r w:rsidRPr="006C6C4F">
              <w:rPr>
                <w:rFonts w:ascii="Century Gothic" w:hAnsi="Century Gothic"/>
                <w:b/>
                <w:bCs/>
                <w:sz w:val="18"/>
                <w:szCs w:val="18"/>
              </w:rPr>
              <w:t>suitable residential accommodation</w:t>
            </w:r>
            <w:r w:rsidRPr="006C6C4F">
              <w:rPr>
                <w:rFonts w:ascii="Century Gothic" w:hAnsi="Century Gothic"/>
                <w:bCs/>
                <w:sz w:val="18"/>
                <w:szCs w:val="18"/>
              </w:rPr>
              <w:t xml:space="preserve"> in Lithuania,</w:t>
            </w:r>
            <w:r w:rsidR="00443857" w:rsidRPr="004C4CE9">
              <w:rPr>
                <w:rStyle w:val="FootnoteReference"/>
              </w:rPr>
              <w:footnoteReference w:id="171"/>
            </w:r>
            <w:r w:rsidRPr="006C6C4F">
              <w:rPr>
                <w:rFonts w:ascii="Century Gothic" w:hAnsi="Century Gothic"/>
                <w:bCs/>
                <w:sz w:val="18"/>
                <w:szCs w:val="18"/>
              </w:rPr>
              <w:t xml:space="preserve"> if they are to be engaged in running their company.</w:t>
            </w:r>
          </w:p>
          <w:p w14:paraId="1FD5059F" w14:textId="77777777" w:rsidR="00276061" w:rsidRPr="006C6C4F" w:rsidRDefault="00276061" w:rsidP="007A7975">
            <w:pPr>
              <w:pStyle w:val="ListParagraph"/>
              <w:numPr>
                <w:ilvl w:val="0"/>
                <w:numId w:val="24"/>
              </w:numPr>
              <w:tabs>
                <w:tab w:val="num" w:pos="360"/>
              </w:tabs>
              <w:rPr>
                <w:rFonts w:ascii="Century Gothic" w:hAnsi="Century Gothic"/>
                <w:bCs/>
                <w:sz w:val="18"/>
                <w:szCs w:val="18"/>
              </w:rPr>
            </w:pPr>
            <w:r w:rsidRPr="006C6C4F">
              <w:rPr>
                <w:rFonts w:ascii="Century Gothic" w:hAnsi="Century Gothic"/>
                <w:bCs/>
                <w:sz w:val="18"/>
                <w:szCs w:val="18"/>
              </w:rPr>
              <w:lastRenderedPageBreak/>
              <w:t xml:space="preserve">The checks for business presence </w:t>
            </w:r>
            <w:r w:rsidR="004F042E" w:rsidRPr="006C6C4F">
              <w:rPr>
                <w:rFonts w:ascii="Century Gothic" w:hAnsi="Century Gothic"/>
                <w:bCs/>
                <w:sz w:val="18"/>
                <w:szCs w:val="18"/>
              </w:rPr>
              <w:t>(of</w:t>
            </w:r>
            <w:r w:rsidR="001D6212">
              <w:rPr>
                <w:rFonts w:ascii="Century Gothic" w:hAnsi="Century Gothic"/>
                <w:bCs/>
                <w:sz w:val="18"/>
                <w:szCs w:val="18"/>
              </w:rPr>
              <w:t xml:space="preserve"> a</w:t>
            </w:r>
            <w:r w:rsidR="004F042E" w:rsidRPr="006C6C4F">
              <w:rPr>
                <w:rFonts w:ascii="Century Gothic" w:hAnsi="Century Gothic"/>
                <w:bCs/>
                <w:sz w:val="18"/>
                <w:szCs w:val="18"/>
              </w:rPr>
              <w:t xml:space="preserve"> minimum</w:t>
            </w:r>
            <w:r w:rsidR="001D6212">
              <w:rPr>
                <w:rFonts w:ascii="Century Gothic" w:hAnsi="Century Gothic"/>
                <w:bCs/>
                <w:sz w:val="18"/>
                <w:szCs w:val="18"/>
              </w:rPr>
              <w:t xml:space="preserve"> of</w:t>
            </w:r>
            <w:r w:rsidR="004F042E" w:rsidRPr="006C6C4F">
              <w:rPr>
                <w:rFonts w:ascii="Century Gothic" w:hAnsi="Century Gothic"/>
                <w:bCs/>
                <w:sz w:val="18"/>
                <w:szCs w:val="18"/>
              </w:rPr>
              <w:t xml:space="preserve"> 6 months) </w:t>
            </w:r>
            <w:r w:rsidRPr="006C6C4F">
              <w:rPr>
                <w:rFonts w:ascii="Century Gothic" w:hAnsi="Century Gothic"/>
                <w:bCs/>
                <w:sz w:val="18"/>
                <w:szCs w:val="18"/>
              </w:rPr>
              <w:t>and for the suitable residential accommodation are carried out at the stage of a TRP application (Stage 1) and then double-checked at the examination of the application stage (Stage 2).</w:t>
            </w:r>
            <w:r w:rsidRPr="004C4CE9">
              <w:rPr>
                <w:rStyle w:val="FootnoteReference"/>
              </w:rPr>
              <w:footnoteReference w:id="172"/>
            </w:r>
            <w:r w:rsidRPr="006C6C4F">
              <w:rPr>
                <w:rFonts w:ascii="Century Gothic" w:hAnsi="Century Gothic"/>
                <w:bCs/>
                <w:sz w:val="18"/>
                <w:szCs w:val="18"/>
              </w:rPr>
              <w:t xml:space="preserve"> </w:t>
            </w:r>
          </w:p>
          <w:p w14:paraId="4A45760F" w14:textId="034A7388" w:rsidR="00276061" w:rsidRPr="006C6C4F" w:rsidRDefault="00276061" w:rsidP="007A7975">
            <w:pPr>
              <w:pStyle w:val="ListParagraph"/>
              <w:numPr>
                <w:ilvl w:val="0"/>
                <w:numId w:val="24"/>
              </w:numPr>
              <w:tabs>
                <w:tab w:val="num" w:pos="360"/>
              </w:tabs>
              <w:rPr>
                <w:rFonts w:ascii="Century Gothic" w:hAnsi="Century Gothic"/>
                <w:bCs/>
                <w:sz w:val="18"/>
                <w:szCs w:val="18"/>
              </w:rPr>
            </w:pPr>
            <w:bookmarkStart w:id="47" w:name="_Hlk517209896"/>
            <w:r w:rsidRPr="006C6C4F">
              <w:rPr>
                <w:rFonts w:ascii="Century Gothic" w:hAnsi="Century Gothic"/>
                <w:bCs/>
                <w:sz w:val="18"/>
                <w:szCs w:val="18"/>
              </w:rPr>
              <w:t xml:space="preserve">For suitable residential accommodation, the </w:t>
            </w:r>
            <w:r w:rsidR="00F827CB" w:rsidRPr="00AE78BA">
              <w:rPr>
                <w:rFonts w:ascii="Century Gothic" w:hAnsi="Century Gothic"/>
                <w:bCs/>
                <w:sz w:val="18"/>
                <w:szCs w:val="18"/>
              </w:rPr>
              <w:t>Real Estate Register</w:t>
            </w:r>
            <w:r w:rsidRPr="00AE78BA">
              <w:rPr>
                <w:rFonts w:ascii="Century Gothic" w:hAnsi="Century Gothic"/>
                <w:bCs/>
                <w:sz w:val="18"/>
                <w:szCs w:val="18"/>
              </w:rPr>
              <w:t xml:space="preserve"> is</w:t>
            </w:r>
            <w:r w:rsidRPr="006C6C4F">
              <w:rPr>
                <w:rFonts w:ascii="Century Gothic" w:hAnsi="Century Gothic"/>
                <w:bCs/>
                <w:sz w:val="18"/>
                <w:szCs w:val="18"/>
              </w:rPr>
              <w:t xml:space="preserve"> checked on whether the foreigner has a place to live that will be the declared place of residence.</w:t>
            </w:r>
            <w:r w:rsidRPr="004C4CE9">
              <w:rPr>
                <w:rStyle w:val="FootnoteReference"/>
              </w:rPr>
              <w:footnoteReference w:id="173"/>
            </w:r>
            <w:r w:rsidRPr="006C6C4F">
              <w:rPr>
                <w:rFonts w:ascii="Century Gothic" w:hAnsi="Century Gothic"/>
                <w:bCs/>
                <w:sz w:val="18"/>
                <w:szCs w:val="18"/>
              </w:rPr>
              <w:t xml:space="preserve"> The Population Register is checked</w:t>
            </w:r>
            <w:r w:rsidR="001D6212">
              <w:rPr>
                <w:rFonts w:ascii="Century Gothic" w:hAnsi="Century Gothic"/>
                <w:bCs/>
                <w:sz w:val="18"/>
                <w:szCs w:val="18"/>
              </w:rPr>
              <w:t xml:space="preserve"> to verify</w:t>
            </w:r>
            <w:r w:rsidRPr="006C6C4F">
              <w:rPr>
                <w:rFonts w:ascii="Century Gothic" w:hAnsi="Century Gothic"/>
                <w:bCs/>
                <w:sz w:val="18"/>
                <w:szCs w:val="18"/>
              </w:rPr>
              <w:t xml:space="preserve"> whether the foreigner is registered at an address that may have been used as a residential address by other foreigners,</w:t>
            </w:r>
            <w:r w:rsidRPr="004C4CE9">
              <w:rPr>
                <w:rStyle w:val="FootnoteReference"/>
              </w:rPr>
              <w:footnoteReference w:id="174"/>
            </w:r>
            <w:r w:rsidRPr="006C6C4F">
              <w:rPr>
                <w:rFonts w:ascii="Century Gothic" w:hAnsi="Century Gothic"/>
                <w:bCs/>
                <w:sz w:val="18"/>
                <w:szCs w:val="18"/>
              </w:rPr>
              <w:t xml:space="preserve"> which might raise fictitious company concerns</w:t>
            </w:r>
            <w:bookmarkEnd w:id="47"/>
            <w:r w:rsidRPr="006C6C4F">
              <w:rPr>
                <w:rFonts w:ascii="Century Gothic" w:hAnsi="Century Gothic"/>
                <w:bCs/>
                <w:sz w:val="18"/>
                <w:szCs w:val="18"/>
              </w:rPr>
              <w:t>.</w:t>
            </w:r>
          </w:p>
          <w:p w14:paraId="65CEFA5C" w14:textId="77777777" w:rsidR="00276061" w:rsidRPr="006C6C4F" w:rsidRDefault="00276061" w:rsidP="007A7975">
            <w:pPr>
              <w:pStyle w:val="ListParagraph"/>
              <w:numPr>
                <w:ilvl w:val="0"/>
                <w:numId w:val="24"/>
              </w:numPr>
              <w:tabs>
                <w:tab w:val="num" w:pos="360"/>
              </w:tabs>
              <w:rPr>
                <w:rFonts w:ascii="Century Gothic" w:hAnsi="Century Gothic"/>
                <w:bCs/>
                <w:sz w:val="18"/>
                <w:szCs w:val="18"/>
              </w:rPr>
            </w:pPr>
            <w:r w:rsidRPr="006C6C4F">
              <w:rPr>
                <w:rFonts w:ascii="Century Gothic" w:hAnsi="Century Gothic"/>
                <w:bCs/>
                <w:sz w:val="18"/>
                <w:szCs w:val="18"/>
              </w:rPr>
              <w:t>The physical presence of the investor is not formally required during the duration of the residence permit, but the policy preference is to attract investors who are actively engaged in the business they invest/own, hence there seems to be a positive bias towards resident investors.</w:t>
            </w:r>
            <w:r w:rsidRPr="004C4CE9">
              <w:rPr>
                <w:rStyle w:val="FootnoteReference"/>
              </w:rPr>
              <w:footnoteReference w:id="175"/>
            </w:r>
            <w:r w:rsidRPr="006C6C4F">
              <w:rPr>
                <w:rFonts w:ascii="Century Gothic" w:hAnsi="Century Gothic"/>
                <w:bCs/>
                <w:sz w:val="18"/>
                <w:szCs w:val="18"/>
              </w:rPr>
              <w:t xml:space="preserve"> </w:t>
            </w:r>
          </w:p>
          <w:p w14:paraId="50677E40" w14:textId="77777777" w:rsidR="00EE0B34" w:rsidRPr="006C6C4F" w:rsidRDefault="004F042E" w:rsidP="007A7975">
            <w:pPr>
              <w:pStyle w:val="ListParagraph"/>
              <w:numPr>
                <w:ilvl w:val="0"/>
                <w:numId w:val="24"/>
              </w:numPr>
              <w:tabs>
                <w:tab w:val="num" w:pos="360"/>
              </w:tabs>
              <w:rPr>
                <w:rFonts w:ascii="Century Gothic" w:hAnsi="Century Gothic"/>
                <w:bCs/>
                <w:sz w:val="18"/>
                <w:szCs w:val="18"/>
              </w:rPr>
            </w:pPr>
            <w:r w:rsidRPr="006C6C4F">
              <w:rPr>
                <w:rFonts w:ascii="Century Gothic" w:hAnsi="Century Gothic"/>
                <w:bCs/>
                <w:sz w:val="18"/>
                <w:szCs w:val="18"/>
              </w:rPr>
              <w:t>The fictitious company (genuine business presence) checks are carried out at the stage of a TRP application (Stage 1)</w:t>
            </w:r>
            <w:r w:rsidRPr="004C4CE9">
              <w:rPr>
                <w:rStyle w:val="FootnoteReference"/>
              </w:rPr>
              <w:footnoteReference w:id="176"/>
            </w:r>
            <w:r w:rsidRPr="006C6C4F">
              <w:rPr>
                <w:rFonts w:ascii="Century Gothic" w:hAnsi="Century Gothic"/>
                <w:bCs/>
                <w:sz w:val="18"/>
                <w:szCs w:val="18"/>
              </w:rPr>
              <w:t xml:space="preserve"> and at the examination of the application (Stage 2);</w:t>
            </w:r>
            <w:r w:rsidRPr="004C4CE9">
              <w:rPr>
                <w:rStyle w:val="FootnoteReference"/>
              </w:rPr>
              <w:footnoteReference w:id="177"/>
            </w:r>
            <w:r w:rsidRPr="006C6C4F">
              <w:rPr>
                <w:rFonts w:ascii="Century Gothic" w:hAnsi="Century Gothic"/>
                <w:bCs/>
                <w:sz w:val="18"/>
                <w:szCs w:val="18"/>
              </w:rPr>
              <w:t xml:space="preserve"> they can be also carried out later, after a TRP had been granted.</w:t>
            </w:r>
            <w:r w:rsidRPr="004C4CE9">
              <w:rPr>
                <w:rStyle w:val="FootnoteReference"/>
              </w:rPr>
              <w:footnoteReference w:id="178"/>
            </w:r>
            <w:r w:rsidR="00276061" w:rsidRPr="006C6C4F">
              <w:rPr>
                <w:rFonts w:ascii="Century Gothic" w:hAnsi="Century Gothic"/>
                <w:bCs/>
                <w:sz w:val="18"/>
                <w:szCs w:val="18"/>
              </w:rPr>
              <w:t xml:space="preserve"> </w:t>
            </w:r>
          </w:p>
          <w:p w14:paraId="2D634D7E" w14:textId="77777777" w:rsidR="00276061" w:rsidRPr="006C6C4F" w:rsidRDefault="00276061" w:rsidP="007A7975">
            <w:pPr>
              <w:pStyle w:val="ListParagraph"/>
              <w:numPr>
                <w:ilvl w:val="0"/>
                <w:numId w:val="24"/>
              </w:numPr>
              <w:tabs>
                <w:tab w:val="num" w:pos="360"/>
              </w:tabs>
              <w:rPr>
                <w:rFonts w:ascii="Century Gothic" w:hAnsi="Century Gothic"/>
                <w:bCs/>
                <w:sz w:val="18"/>
                <w:szCs w:val="18"/>
              </w:rPr>
            </w:pPr>
            <w:r w:rsidRPr="006C6C4F">
              <w:rPr>
                <w:rFonts w:ascii="Century Gothic" w:hAnsi="Century Gothic"/>
                <w:bCs/>
                <w:sz w:val="18"/>
                <w:szCs w:val="18"/>
              </w:rPr>
              <w:t>Future changes of the</w:t>
            </w:r>
            <w:r w:rsidR="00A159A0" w:rsidRPr="006C6C4F">
              <w:rPr>
                <w:rFonts w:ascii="Century Gothic" w:hAnsi="Century Gothic"/>
                <w:bCs/>
                <w:sz w:val="18"/>
                <w:szCs w:val="18"/>
              </w:rPr>
              <w:t xml:space="preserve"> investor’s residential address,</w:t>
            </w:r>
            <w:r w:rsidRPr="006C6C4F">
              <w:rPr>
                <w:rFonts w:ascii="Century Gothic" w:hAnsi="Century Gothic"/>
                <w:bCs/>
                <w:sz w:val="18"/>
                <w:szCs w:val="18"/>
              </w:rPr>
              <w:t xml:space="preserve"> the company’s registered address</w:t>
            </w:r>
            <w:r w:rsidR="00A159A0" w:rsidRPr="006C6C4F">
              <w:rPr>
                <w:rFonts w:ascii="Century Gothic" w:hAnsi="Century Gothic"/>
                <w:bCs/>
                <w:sz w:val="18"/>
                <w:szCs w:val="18"/>
              </w:rPr>
              <w:t>, or of the investor’s identity documents</w:t>
            </w:r>
            <w:r w:rsidRPr="006C6C4F">
              <w:rPr>
                <w:rFonts w:ascii="Century Gothic" w:hAnsi="Century Gothic"/>
                <w:bCs/>
                <w:sz w:val="18"/>
                <w:szCs w:val="18"/>
              </w:rPr>
              <w:t xml:space="preserve"> must be self-reported to the migration authorities</w:t>
            </w:r>
            <w:r w:rsidR="00A159A0" w:rsidRPr="006C6C4F">
              <w:rPr>
                <w:rFonts w:ascii="Century Gothic" w:hAnsi="Century Gothic"/>
                <w:bCs/>
                <w:sz w:val="18"/>
                <w:szCs w:val="18"/>
              </w:rPr>
              <w:t>,</w:t>
            </w:r>
            <w:r w:rsidRPr="004C4CE9">
              <w:rPr>
                <w:rStyle w:val="FootnoteReference"/>
              </w:rPr>
              <w:footnoteReference w:id="179"/>
            </w:r>
            <w:r w:rsidR="00A159A0" w:rsidRPr="006C6C4F">
              <w:rPr>
                <w:rFonts w:ascii="Century Gothic" w:hAnsi="Century Gothic"/>
                <w:bCs/>
                <w:sz w:val="18"/>
                <w:szCs w:val="18"/>
              </w:rPr>
              <w:t xml:space="preserve"> within 7 days from the occurrence of the change.</w:t>
            </w:r>
          </w:p>
          <w:p w14:paraId="55A0B85C" w14:textId="77777777" w:rsidR="00043B0E" w:rsidRPr="006C6C4F" w:rsidRDefault="00CC325E" w:rsidP="007A7975">
            <w:pPr>
              <w:pStyle w:val="ListParagraph"/>
              <w:numPr>
                <w:ilvl w:val="0"/>
                <w:numId w:val="24"/>
              </w:numPr>
              <w:tabs>
                <w:tab w:val="num" w:pos="360"/>
              </w:tabs>
              <w:rPr>
                <w:rFonts w:ascii="Century Gothic" w:hAnsi="Century Gothic"/>
                <w:bCs/>
                <w:sz w:val="18"/>
                <w:szCs w:val="18"/>
              </w:rPr>
            </w:pPr>
            <w:r w:rsidRPr="006C6C4F">
              <w:rPr>
                <w:rFonts w:ascii="Century Gothic" w:hAnsi="Century Gothic"/>
                <w:bCs/>
                <w:sz w:val="18"/>
                <w:szCs w:val="18"/>
              </w:rPr>
              <w:lastRenderedPageBreak/>
              <w:t xml:space="preserve">Article 36.3 LLSA also prescribes that certain subjects must notify the migration authorities if they become aware of the circumstances that may impact on the foreigner’s residence status. They include employers, authorities monitoring economic activities, education institutions, the police and other authorities that apply administrative penalties, the </w:t>
            </w:r>
            <w:r w:rsidR="00627C63" w:rsidRPr="006C6C4F">
              <w:rPr>
                <w:rFonts w:ascii="Century Gothic" w:hAnsi="Century Gothic"/>
                <w:bCs/>
                <w:sz w:val="18"/>
                <w:szCs w:val="18"/>
              </w:rPr>
              <w:t>Prison</w:t>
            </w:r>
            <w:r w:rsidRPr="006C6C4F">
              <w:rPr>
                <w:rFonts w:ascii="Century Gothic" w:hAnsi="Century Gothic"/>
                <w:bCs/>
                <w:sz w:val="18"/>
                <w:szCs w:val="18"/>
              </w:rPr>
              <w:t xml:space="preserve"> Department, or companies receiving foreign employees via intra-company transfers.</w:t>
            </w:r>
          </w:p>
          <w:p w14:paraId="11CD763E" w14:textId="77777777" w:rsidR="00F911E0" w:rsidRPr="006C6C4F" w:rsidRDefault="00F911E0" w:rsidP="007A7975">
            <w:pPr>
              <w:pStyle w:val="ListParagraph"/>
              <w:numPr>
                <w:ilvl w:val="0"/>
                <w:numId w:val="24"/>
              </w:numPr>
              <w:tabs>
                <w:tab w:val="num" w:pos="360"/>
              </w:tabs>
              <w:rPr>
                <w:rFonts w:ascii="Century Gothic" w:hAnsi="Century Gothic"/>
                <w:bCs/>
                <w:sz w:val="18"/>
                <w:szCs w:val="18"/>
              </w:rPr>
            </w:pPr>
            <w:r w:rsidRPr="006C6C4F">
              <w:rPr>
                <w:rFonts w:ascii="Century Gothic" w:hAnsi="Century Gothic"/>
                <w:bCs/>
                <w:sz w:val="18"/>
                <w:szCs w:val="18"/>
              </w:rPr>
              <w:t>The criteria applied for turning down applications that do not meet the conditions for residence are listed in Article 35.1 LSSA.</w:t>
            </w:r>
          </w:p>
        </w:tc>
        <w:tc>
          <w:tcPr>
            <w:tcW w:w="1103" w:type="pct"/>
            <w:vMerge w:val="restart"/>
            <w:shd w:val="clear" w:color="auto" w:fill="D9D9D9" w:themeFill="background1" w:themeFillShade="D9"/>
          </w:tcPr>
          <w:p w14:paraId="123DF3AE" w14:textId="77777777" w:rsidR="00276061" w:rsidRPr="006C6C4F" w:rsidRDefault="00276061" w:rsidP="007A7975">
            <w:pPr>
              <w:pStyle w:val="ListParagraph"/>
              <w:numPr>
                <w:ilvl w:val="0"/>
                <w:numId w:val="24"/>
              </w:numPr>
              <w:tabs>
                <w:tab w:val="num" w:pos="360"/>
              </w:tabs>
              <w:rPr>
                <w:rFonts w:ascii="Century Gothic" w:hAnsi="Century Gothic"/>
                <w:bCs/>
                <w:sz w:val="18"/>
                <w:szCs w:val="18"/>
              </w:rPr>
            </w:pPr>
            <w:r w:rsidRPr="006C6C4F">
              <w:rPr>
                <w:rFonts w:ascii="Century Gothic" w:hAnsi="Century Gothic"/>
                <w:bCs/>
                <w:sz w:val="18"/>
                <w:szCs w:val="18"/>
              </w:rPr>
              <w:lastRenderedPageBreak/>
              <w:t xml:space="preserve">The competent authorities for foreign investors’ TRP applications are not different from the ones in the general procedure. </w:t>
            </w:r>
          </w:p>
          <w:p w14:paraId="6DBA14CD" w14:textId="2E737FB3" w:rsidR="00276061" w:rsidRPr="006C6C4F" w:rsidRDefault="00A04598" w:rsidP="007A7975">
            <w:pPr>
              <w:pStyle w:val="ListParagraph"/>
              <w:numPr>
                <w:ilvl w:val="0"/>
                <w:numId w:val="24"/>
              </w:numPr>
              <w:tabs>
                <w:tab w:val="num" w:pos="360"/>
              </w:tabs>
              <w:rPr>
                <w:rFonts w:ascii="Century Gothic" w:hAnsi="Century Gothic"/>
                <w:bCs/>
                <w:sz w:val="18"/>
                <w:szCs w:val="18"/>
              </w:rPr>
            </w:pPr>
            <w:r w:rsidRPr="006C6C4F">
              <w:rPr>
                <w:rFonts w:ascii="Century Gothic" w:hAnsi="Century Gothic"/>
                <w:bCs/>
                <w:sz w:val="18"/>
                <w:szCs w:val="18"/>
              </w:rPr>
              <w:t>There are no regular scrutiny mechanisms or reporting obligations in place, but</w:t>
            </w:r>
            <w:r>
              <w:rPr>
                <w:rFonts w:ascii="Century Gothic" w:hAnsi="Century Gothic"/>
                <w:bCs/>
                <w:sz w:val="18"/>
                <w:szCs w:val="18"/>
              </w:rPr>
              <w:t xml:space="preserve"> the Migration Department announces in its website the activities carried out </w:t>
            </w:r>
            <w:r>
              <w:rPr>
                <w:rFonts w:ascii="Century Gothic" w:hAnsi="Century Gothic"/>
                <w:bCs/>
                <w:sz w:val="18"/>
                <w:szCs w:val="18"/>
              </w:rPr>
              <w:lastRenderedPageBreak/>
              <w:t>(including TRPs) thus enhancing transparency and serving as a kind of reporting mechanism on its activities. I</w:t>
            </w:r>
            <w:r w:rsidR="00276061" w:rsidRPr="006C6C4F">
              <w:rPr>
                <w:rFonts w:ascii="Century Gothic" w:hAnsi="Century Gothic"/>
                <w:bCs/>
                <w:sz w:val="18"/>
                <w:szCs w:val="18"/>
              </w:rPr>
              <w:t>n addition, where specified by legislation such information is published in the annex of ‘Valstybės žinios’ called ‘Informational Announcements’.</w:t>
            </w:r>
            <w:r w:rsidR="00276061" w:rsidRPr="004C4CE9">
              <w:rPr>
                <w:rStyle w:val="FootnoteReference"/>
              </w:rPr>
              <w:footnoteReference w:id="180"/>
            </w:r>
            <w:r w:rsidR="00276061" w:rsidRPr="006C6C4F">
              <w:rPr>
                <w:rFonts w:ascii="Century Gothic" w:hAnsi="Century Gothic"/>
                <w:sz w:val="18"/>
                <w:szCs w:val="18"/>
              </w:rPr>
              <w:t xml:space="preserve"> </w:t>
            </w:r>
          </w:p>
          <w:p w14:paraId="16BCFE54" w14:textId="77777777" w:rsidR="00276061" w:rsidRPr="006C6C4F" w:rsidRDefault="00276061" w:rsidP="007A7975">
            <w:pPr>
              <w:pStyle w:val="ListParagraph"/>
              <w:numPr>
                <w:ilvl w:val="0"/>
                <w:numId w:val="24"/>
              </w:numPr>
              <w:tabs>
                <w:tab w:val="num" w:pos="360"/>
              </w:tabs>
              <w:rPr>
                <w:rFonts w:ascii="Century Gothic" w:hAnsi="Century Gothic"/>
                <w:bCs/>
                <w:sz w:val="18"/>
                <w:szCs w:val="18"/>
              </w:rPr>
            </w:pPr>
            <w:r w:rsidRPr="006C6C4F">
              <w:rPr>
                <w:rFonts w:ascii="Century Gothic" w:hAnsi="Century Gothic"/>
                <w:bCs/>
                <w:sz w:val="18"/>
                <w:szCs w:val="18"/>
              </w:rPr>
              <w:t>The Ministry of the Interior provides national statistics to Eurostat.</w:t>
            </w:r>
            <w:r w:rsidRPr="004C4CE9">
              <w:rPr>
                <w:rStyle w:val="FootnoteReference"/>
              </w:rPr>
              <w:footnoteReference w:id="181"/>
            </w:r>
          </w:p>
          <w:p w14:paraId="6B7587BF" w14:textId="5A3ECF38" w:rsidR="00276061" w:rsidRPr="006C6C4F" w:rsidRDefault="001D6212" w:rsidP="007A7975">
            <w:pPr>
              <w:pStyle w:val="ListParagraph"/>
              <w:numPr>
                <w:ilvl w:val="0"/>
                <w:numId w:val="24"/>
              </w:numPr>
              <w:tabs>
                <w:tab w:val="num" w:pos="360"/>
              </w:tabs>
              <w:rPr>
                <w:rFonts w:ascii="Century Gothic" w:hAnsi="Century Gothic"/>
                <w:bCs/>
                <w:sz w:val="18"/>
                <w:szCs w:val="18"/>
              </w:rPr>
            </w:pPr>
            <w:r>
              <w:rPr>
                <w:rFonts w:ascii="Century Gothic" w:hAnsi="Century Gothic"/>
                <w:bCs/>
                <w:sz w:val="18"/>
                <w:szCs w:val="18"/>
              </w:rPr>
              <w:t>T</w:t>
            </w:r>
            <w:r w:rsidR="00276061" w:rsidRPr="006C6C4F">
              <w:rPr>
                <w:rFonts w:ascii="Century Gothic" w:hAnsi="Century Gothic"/>
                <w:bCs/>
                <w:sz w:val="18"/>
                <w:szCs w:val="18"/>
              </w:rPr>
              <w:t>here can be a state audit (as required) by the National Audit Office (NAO) of Lithuania.</w:t>
            </w:r>
            <w:r w:rsidR="00276061" w:rsidRPr="004C4CE9">
              <w:rPr>
                <w:rStyle w:val="FootnoteReference"/>
              </w:rPr>
              <w:footnoteReference w:id="182"/>
            </w:r>
            <w:r w:rsidR="00276061" w:rsidRPr="006C6C4F">
              <w:rPr>
                <w:rFonts w:ascii="Century Gothic" w:hAnsi="Century Gothic"/>
                <w:bCs/>
                <w:sz w:val="18"/>
                <w:szCs w:val="18"/>
              </w:rPr>
              <w:t xml:space="preserve"> </w:t>
            </w:r>
            <w:r w:rsidR="00276061" w:rsidRPr="006C6C4F">
              <w:rPr>
                <w:rFonts w:ascii="Century Gothic" w:hAnsi="Century Gothic"/>
                <w:sz w:val="18"/>
                <w:szCs w:val="18"/>
              </w:rPr>
              <w:t>In 2015, the NAO carried out such an audit by way of assessment of the administration of immigration processes.</w:t>
            </w:r>
            <w:r w:rsidR="00276061" w:rsidRPr="004C4CE9">
              <w:rPr>
                <w:rStyle w:val="FootnoteReference"/>
              </w:rPr>
              <w:footnoteReference w:id="183"/>
            </w:r>
          </w:p>
        </w:tc>
        <w:tc>
          <w:tcPr>
            <w:tcW w:w="1153" w:type="pct"/>
            <w:vMerge w:val="restart"/>
            <w:shd w:val="clear" w:color="auto" w:fill="D9D9D9" w:themeFill="background1" w:themeFillShade="D9"/>
          </w:tcPr>
          <w:p w14:paraId="16E5A32D" w14:textId="77777777" w:rsidR="00276061" w:rsidRPr="006C6C4F" w:rsidRDefault="00276061" w:rsidP="007A7975">
            <w:pPr>
              <w:pStyle w:val="ListParagraph"/>
              <w:numPr>
                <w:ilvl w:val="0"/>
                <w:numId w:val="24"/>
              </w:numPr>
              <w:tabs>
                <w:tab w:val="num" w:pos="360"/>
              </w:tabs>
              <w:rPr>
                <w:rFonts w:ascii="Century Gothic" w:hAnsi="Century Gothic"/>
                <w:bCs/>
                <w:sz w:val="18"/>
                <w:szCs w:val="18"/>
              </w:rPr>
            </w:pPr>
            <w:r w:rsidRPr="006C6C4F">
              <w:rPr>
                <w:rFonts w:ascii="Century Gothic" w:hAnsi="Century Gothic"/>
                <w:bCs/>
                <w:sz w:val="18"/>
                <w:szCs w:val="18"/>
              </w:rPr>
              <w:lastRenderedPageBreak/>
              <w:t>The procedure for renewal of a TRP is the same as for issuing the permit for the first time</w:t>
            </w:r>
            <w:r w:rsidR="008F039E" w:rsidRPr="006C6C4F">
              <w:rPr>
                <w:rFonts w:ascii="Century Gothic" w:hAnsi="Century Gothic"/>
                <w:bCs/>
                <w:sz w:val="18"/>
                <w:szCs w:val="18"/>
              </w:rPr>
              <w:t>, except that some requirements do not apply (</w:t>
            </w:r>
            <w:r w:rsidR="00EB2B56" w:rsidRPr="006C6C4F">
              <w:rPr>
                <w:rFonts w:ascii="Century Gothic" w:hAnsi="Century Gothic"/>
                <w:bCs/>
                <w:sz w:val="18"/>
                <w:szCs w:val="18"/>
              </w:rPr>
              <w:t xml:space="preserve">e.g. a certificate regarding </w:t>
            </w:r>
            <w:r w:rsidR="008F039E" w:rsidRPr="006C6C4F">
              <w:rPr>
                <w:rFonts w:ascii="Century Gothic" w:hAnsi="Century Gothic"/>
                <w:bCs/>
                <w:sz w:val="18"/>
                <w:szCs w:val="18"/>
              </w:rPr>
              <w:t>the absence of a criminal record).</w:t>
            </w:r>
          </w:p>
          <w:p w14:paraId="02B1A156" w14:textId="36A074A2" w:rsidR="00276061" w:rsidRPr="006C6C4F" w:rsidRDefault="00276061" w:rsidP="00AE78BA">
            <w:pPr>
              <w:pStyle w:val="ListParagraph"/>
              <w:numPr>
                <w:ilvl w:val="0"/>
                <w:numId w:val="9"/>
              </w:numPr>
              <w:ind w:left="360"/>
              <w:contextualSpacing w:val="0"/>
              <w:rPr>
                <w:rFonts w:ascii="Century Gothic" w:hAnsi="Century Gothic"/>
                <w:bCs/>
                <w:sz w:val="18"/>
                <w:szCs w:val="18"/>
              </w:rPr>
            </w:pPr>
            <w:r w:rsidRPr="006C6C4F">
              <w:rPr>
                <w:rFonts w:ascii="Century Gothic" w:hAnsi="Century Gothic"/>
                <w:bCs/>
                <w:sz w:val="18"/>
                <w:szCs w:val="18"/>
              </w:rPr>
              <w:t>Lithuanian law does not set limits on how many times a TRP can be renewed, nor</w:t>
            </w:r>
            <w:r w:rsidR="001D6212">
              <w:rPr>
                <w:rFonts w:ascii="Century Gothic" w:hAnsi="Century Gothic"/>
                <w:bCs/>
                <w:sz w:val="18"/>
                <w:szCs w:val="18"/>
              </w:rPr>
              <w:t xml:space="preserve"> does</w:t>
            </w:r>
            <w:r w:rsidRPr="006C6C4F">
              <w:rPr>
                <w:rFonts w:ascii="Century Gothic" w:hAnsi="Century Gothic"/>
                <w:bCs/>
                <w:sz w:val="18"/>
                <w:szCs w:val="18"/>
              </w:rPr>
              <w:t xml:space="preserve"> it </w:t>
            </w:r>
            <w:r w:rsidR="001D6212" w:rsidRPr="006C6C4F">
              <w:rPr>
                <w:rFonts w:ascii="Century Gothic" w:hAnsi="Century Gothic"/>
                <w:bCs/>
                <w:sz w:val="18"/>
                <w:szCs w:val="18"/>
              </w:rPr>
              <w:t>specif</w:t>
            </w:r>
            <w:r w:rsidR="001D6212">
              <w:rPr>
                <w:rFonts w:ascii="Century Gothic" w:hAnsi="Century Gothic"/>
                <w:bCs/>
                <w:sz w:val="18"/>
                <w:szCs w:val="18"/>
              </w:rPr>
              <w:t>y</w:t>
            </w:r>
            <w:r w:rsidR="001D6212" w:rsidRPr="006C6C4F">
              <w:rPr>
                <w:rFonts w:ascii="Century Gothic" w:hAnsi="Century Gothic"/>
                <w:bCs/>
                <w:sz w:val="18"/>
                <w:szCs w:val="18"/>
              </w:rPr>
              <w:t xml:space="preserve"> </w:t>
            </w:r>
            <w:r w:rsidRPr="006C6C4F">
              <w:rPr>
                <w:rFonts w:ascii="Century Gothic" w:hAnsi="Century Gothic"/>
                <w:bCs/>
                <w:sz w:val="18"/>
                <w:szCs w:val="18"/>
              </w:rPr>
              <w:t xml:space="preserve">how frequently it can </w:t>
            </w:r>
            <w:r w:rsidRPr="006C6C4F">
              <w:rPr>
                <w:rFonts w:ascii="Century Gothic" w:hAnsi="Century Gothic"/>
                <w:bCs/>
                <w:sz w:val="18"/>
                <w:szCs w:val="18"/>
              </w:rPr>
              <w:lastRenderedPageBreak/>
              <w:t xml:space="preserve">be renewed. </w:t>
            </w:r>
          </w:p>
          <w:p w14:paraId="73870541" w14:textId="77777777" w:rsidR="00276061" w:rsidRPr="006C6C4F" w:rsidRDefault="00276061" w:rsidP="00AE78BA">
            <w:pPr>
              <w:pStyle w:val="ListParagraph"/>
              <w:numPr>
                <w:ilvl w:val="0"/>
                <w:numId w:val="9"/>
              </w:numPr>
              <w:ind w:left="360"/>
              <w:contextualSpacing w:val="0"/>
              <w:rPr>
                <w:rFonts w:ascii="Century Gothic" w:hAnsi="Century Gothic"/>
                <w:bCs/>
                <w:sz w:val="18"/>
                <w:szCs w:val="18"/>
              </w:rPr>
            </w:pPr>
            <w:r w:rsidRPr="006C6C4F">
              <w:rPr>
                <w:rFonts w:ascii="Century Gothic" w:hAnsi="Century Gothic"/>
                <w:bCs/>
                <w:sz w:val="18"/>
                <w:szCs w:val="18"/>
              </w:rPr>
              <w:t>The conditions that must be met to renew a TRP are the same as for the issue of a TRP, except that the foreigner renewing</w:t>
            </w:r>
            <w:r w:rsidR="001D6212">
              <w:rPr>
                <w:rFonts w:ascii="Century Gothic" w:hAnsi="Century Gothic"/>
                <w:bCs/>
                <w:sz w:val="18"/>
                <w:szCs w:val="18"/>
              </w:rPr>
              <w:t xml:space="preserve"> it</w:t>
            </w:r>
            <w:r w:rsidRPr="006C6C4F">
              <w:rPr>
                <w:rFonts w:ascii="Century Gothic" w:hAnsi="Century Gothic"/>
                <w:bCs/>
                <w:sz w:val="18"/>
                <w:szCs w:val="18"/>
              </w:rPr>
              <w:t xml:space="preserve"> must have an official place of residence</w:t>
            </w:r>
            <w:r w:rsidR="00EB2B56" w:rsidRPr="006C6C4F">
              <w:rPr>
                <w:rFonts w:ascii="Century Gothic" w:hAnsi="Century Gothic"/>
                <w:bCs/>
                <w:sz w:val="18"/>
                <w:szCs w:val="18"/>
              </w:rPr>
              <w:t xml:space="preserve"> in Lithuania</w:t>
            </w:r>
            <w:r w:rsidRPr="006C6C4F">
              <w:rPr>
                <w:rFonts w:ascii="Century Gothic" w:hAnsi="Century Gothic"/>
                <w:bCs/>
                <w:sz w:val="18"/>
                <w:szCs w:val="18"/>
              </w:rPr>
              <w:t>.</w:t>
            </w:r>
          </w:p>
          <w:p w14:paraId="1DE1847B" w14:textId="77777777" w:rsidR="00C44465" w:rsidRPr="006C6C4F" w:rsidRDefault="00276061" w:rsidP="00AE78BA">
            <w:pPr>
              <w:pStyle w:val="ListParagraph"/>
              <w:numPr>
                <w:ilvl w:val="0"/>
                <w:numId w:val="9"/>
              </w:numPr>
              <w:ind w:left="360"/>
              <w:contextualSpacing w:val="0"/>
              <w:rPr>
                <w:rFonts w:ascii="Century Gothic" w:hAnsi="Century Gothic"/>
                <w:bCs/>
                <w:sz w:val="18"/>
                <w:szCs w:val="18"/>
              </w:rPr>
            </w:pPr>
            <w:r w:rsidRPr="006C6C4F">
              <w:rPr>
                <w:rFonts w:ascii="Century Gothic" w:hAnsi="Century Gothic"/>
                <w:bCs/>
                <w:sz w:val="18"/>
                <w:szCs w:val="18"/>
              </w:rPr>
              <w:t>The duration of the renewal is the same as for first-time issued permits: Articles 45.2 and 45.3 LLSA.</w:t>
            </w:r>
          </w:p>
          <w:p w14:paraId="6FA42272" w14:textId="13A08F48" w:rsidR="00C05F4C" w:rsidRPr="006C6C4F" w:rsidRDefault="00C05F4C" w:rsidP="00AE78BA">
            <w:pPr>
              <w:pStyle w:val="ListParagraph"/>
              <w:numPr>
                <w:ilvl w:val="0"/>
                <w:numId w:val="9"/>
              </w:numPr>
              <w:ind w:left="360"/>
              <w:contextualSpacing w:val="0"/>
              <w:rPr>
                <w:rFonts w:ascii="Century Gothic" w:hAnsi="Century Gothic"/>
                <w:bCs/>
                <w:sz w:val="18"/>
                <w:szCs w:val="18"/>
              </w:rPr>
            </w:pPr>
            <w:r w:rsidRPr="006C6C4F">
              <w:rPr>
                <w:rFonts w:ascii="Century Gothic" w:hAnsi="Century Gothic"/>
                <w:bCs/>
                <w:sz w:val="18"/>
                <w:szCs w:val="18"/>
              </w:rPr>
              <w:t xml:space="preserve">The standard application for a renewal and accompanying documents must be submitted at least 2 months before the date of expiry of the </w:t>
            </w:r>
            <w:r w:rsidR="001D6212">
              <w:rPr>
                <w:rFonts w:ascii="Century Gothic" w:hAnsi="Century Gothic"/>
                <w:bCs/>
                <w:sz w:val="18"/>
                <w:szCs w:val="18"/>
              </w:rPr>
              <w:t>TRP</w:t>
            </w:r>
            <w:r w:rsidRPr="006C6C4F">
              <w:rPr>
                <w:rFonts w:ascii="Century Gothic" w:hAnsi="Century Gothic"/>
                <w:bCs/>
                <w:sz w:val="18"/>
                <w:szCs w:val="18"/>
              </w:rPr>
              <w:t xml:space="preserve">, while the urgent application for a renewal and accompanying documents must be submitted at least 1 month before the date of expiry of the </w:t>
            </w:r>
            <w:r w:rsidR="00A66B39">
              <w:rPr>
                <w:rFonts w:ascii="Century Gothic" w:hAnsi="Century Gothic"/>
                <w:bCs/>
                <w:sz w:val="18"/>
                <w:szCs w:val="18"/>
              </w:rPr>
              <w:t>TRP</w:t>
            </w:r>
            <w:r w:rsidRPr="006C6C4F">
              <w:rPr>
                <w:rFonts w:ascii="Century Gothic" w:hAnsi="Century Gothic"/>
                <w:bCs/>
                <w:sz w:val="18"/>
                <w:szCs w:val="18"/>
              </w:rPr>
              <w:t>, but not earlier than 4 months before the date of expiry.</w:t>
            </w:r>
            <w:r w:rsidRPr="004C4CE9">
              <w:rPr>
                <w:rStyle w:val="FootnoteReference"/>
              </w:rPr>
              <w:footnoteReference w:id="184"/>
            </w:r>
          </w:p>
        </w:tc>
      </w:tr>
      <w:tr w:rsidR="00276061" w:rsidRPr="006C6C4F" w14:paraId="75066B44" w14:textId="77777777" w:rsidTr="00BD2F76">
        <w:tc>
          <w:tcPr>
            <w:tcW w:w="590" w:type="pct"/>
            <w:shd w:val="clear" w:color="auto" w:fill="D9D9D9" w:themeFill="background1" w:themeFillShade="D9"/>
          </w:tcPr>
          <w:p w14:paraId="0265D366" w14:textId="0F3C0939" w:rsidR="00276061" w:rsidRPr="006C6C4F" w:rsidRDefault="00276061" w:rsidP="00BC4342">
            <w:pPr>
              <w:rPr>
                <w:rFonts w:ascii="Century Gothic" w:hAnsi="Century Gothic"/>
                <w:b/>
                <w:bCs/>
                <w:sz w:val="18"/>
                <w:szCs w:val="18"/>
              </w:rPr>
            </w:pPr>
            <w:r w:rsidRPr="006C6C4F">
              <w:rPr>
                <w:rFonts w:ascii="Century Gothic" w:hAnsi="Century Gothic"/>
                <w:b/>
                <w:bCs/>
                <w:sz w:val="18"/>
                <w:szCs w:val="18"/>
              </w:rPr>
              <w:lastRenderedPageBreak/>
              <w:t>Article 45.3 LLSA:</w:t>
            </w:r>
            <w:r w:rsidRPr="006C6C4F">
              <w:rPr>
                <w:rFonts w:ascii="Century Gothic" w:hAnsi="Century Gothic"/>
                <w:bCs/>
                <w:sz w:val="18"/>
                <w:szCs w:val="18"/>
              </w:rPr>
              <w:t xml:space="preserve"> </w:t>
            </w:r>
            <w:r w:rsidRPr="004C4CE9">
              <w:rPr>
                <w:rFonts w:ascii="Century Gothic" w:hAnsi="Century Gothic"/>
                <w:b/>
                <w:bCs/>
                <w:sz w:val="18"/>
                <w:szCs w:val="18"/>
              </w:rPr>
              <w:t>TRP for medium investors</w:t>
            </w:r>
            <w:r w:rsidRPr="006C6C4F">
              <w:rPr>
                <w:rFonts w:ascii="Century Gothic" w:hAnsi="Century Gothic"/>
                <w:bCs/>
                <w:sz w:val="18"/>
                <w:szCs w:val="18"/>
              </w:rPr>
              <w:t xml:space="preserve">: </w:t>
            </w:r>
            <w:r w:rsidR="001D6212">
              <w:rPr>
                <w:rFonts w:ascii="Century Gothic" w:hAnsi="Century Gothic"/>
                <w:bCs/>
                <w:sz w:val="18"/>
                <w:szCs w:val="18"/>
              </w:rPr>
              <w:t xml:space="preserve">issued for </w:t>
            </w:r>
            <w:r w:rsidRPr="006C6C4F">
              <w:rPr>
                <w:rFonts w:ascii="Century Gothic" w:hAnsi="Century Gothic"/>
                <w:b/>
                <w:bCs/>
                <w:sz w:val="18"/>
                <w:szCs w:val="18"/>
              </w:rPr>
              <w:t>3 years</w:t>
            </w:r>
            <w:r w:rsidRPr="006C6C4F">
              <w:rPr>
                <w:rFonts w:ascii="Century Gothic" w:hAnsi="Century Gothic"/>
                <w:bCs/>
                <w:sz w:val="18"/>
                <w:szCs w:val="18"/>
              </w:rPr>
              <w:t>, or for the duration of the business activity, when such activity lasts less than 3 years.</w:t>
            </w:r>
          </w:p>
        </w:tc>
        <w:tc>
          <w:tcPr>
            <w:tcW w:w="2154" w:type="pct"/>
            <w:vMerge/>
            <w:shd w:val="clear" w:color="auto" w:fill="F2F2F2" w:themeFill="background1" w:themeFillShade="F2"/>
          </w:tcPr>
          <w:p w14:paraId="176BB178" w14:textId="77777777" w:rsidR="00276061" w:rsidRPr="006C6C4F" w:rsidRDefault="00276061" w:rsidP="00BC4342">
            <w:pPr>
              <w:rPr>
                <w:rFonts w:ascii="Century Gothic" w:hAnsi="Century Gothic"/>
                <w:bCs/>
                <w:sz w:val="18"/>
                <w:szCs w:val="18"/>
              </w:rPr>
            </w:pPr>
          </w:p>
        </w:tc>
        <w:tc>
          <w:tcPr>
            <w:tcW w:w="1103" w:type="pct"/>
            <w:vMerge/>
            <w:shd w:val="clear" w:color="auto" w:fill="F2F2F2" w:themeFill="background1" w:themeFillShade="F2"/>
          </w:tcPr>
          <w:p w14:paraId="19841207" w14:textId="77777777" w:rsidR="00276061" w:rsidRPr="006C6C4F" w:rsidRDefault="00276061" w:rsidP="00BC4342">
            <w:pPr>
              <w:rPr>
                <w:rFonts w:ascii="Century Gothic" w:hAnsi="Century Gothic"/>
                <w:bCs/>
                <w:sz w:val="18"/>
                <w:szCs w:val="18"/>
              </w:rPr>
            </w:pPr>
          </w:p>
        </w:tc>
        <w:tc>
          <w:tcPr>
            <w:tcW w:w="1153" w:type="pct"/>
            <w:vMerge/>
            <w:shd w:val="clear" w:color="auto" w:fill="F2F2F2" w:themeFill="background1" w:themeFillShade="F2"/>
          </w:tcPr>
          <w:p w14:paraId="7AB46151" w14:textId="77777777" w:rsidR="00276061" w:rsidRPr="006C6C4F" w:rsidRDefault="00276061" w:rsidP="00BC4342">
            <w:pPr>
              <w:rPr>
                <w:rFonts w:ascii="Century Gothic" w:hAnsi="Century Gothic"/>
                <w:bCs/>
                <w:sz w:val="18"/>
                <w:szCs w:val="18"/>
              </w:rPr>
            </w:pPr>
          </w:p>
        </w:tc>
      </w:tr>
      <w:bookmarkEnd w:id="46"/>
    </w:tbl>
    <w:p w14:paraId="56D429A1" w14:textId="77777777" w:rsidR="00B311A7" w:rsidRPr="006C6C4F" w:rsidRDefault="00B311A7" w:rsidP="007B4516">
      <w:pPr>
        <w:pStyle w:val="MBT"/>
        <w:rPr>
          <w:lang w:val="en-GB"/>
        </w:rPr>
      </w:pPr>
    </w:p>
    <w:p w14:paraId="244DEA58" w14:textId="77777777" w:rsidR="00B311A7" w:rsidRPr="006C6C4F" w:rsidRDefault="00B311A7" w:rsidP="007B4516">
      <w:pPr>
        <w:pStyle w:val="MBT"/>
        <w:rPr>
          <w:lang w:val="en-GB"/>
        </w:rPr>
      </w:pPr>
    </w:p>
    <w:p w14:paraId="5C23F82D" w14:textId="77777777" w:rsidR="00B311A7" w:rsidRPr="006C6C4F" w:rsidRDefault="00B311A7" w:rsidP="00E42050">
      <w:pPr>
        <w:pStyle w:val="MH1"/>
        <w:pageBreakBefore w:val="0"/>
        <w:ind w:left="431" w:hanging="431"/>
      </w:pPr>
      <w:bookmarkStart w:id="48" w:name="_Toc496025537"/>
      <w:bookmarkStart w:id="49" w:name="_Toc522130161"/>
      <w:r w:rsidRPr="006C6C4F">
        <w:t>Due diligence criteria and security considerations</w:t>
      </w:r>
      <w:bookmarkEnd w:id="48"/>
      <w:bookmarkEnd w:id="49"/>
    </w:p>
    <w:tbl>
      <w:tblPr>
        <w:tblStyle w:val="TableGrid"/>
        <w:tblW w:w="4938"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3085"/>
        <w:gridCol w:w="3105"/>
        <w:gridCol w:w="4692"/>
        <w:gridCol w:w="3116"/>
      </w:tblGrid>
      <w:tr w:rsidR="00627C63" w:rsidRPr="006C6C4F" w14:paraId="0EB6D80C" w14:textId="77777777" w:rsidTr="00E42050">
        <w:trPr>
          <w:tblHeader/>
        </w:trPr>
        <w:tc>
          <w:tcPr>
            <w:tcW w:w="1102" w:type="pct"/>
            <w:shd w:val="clear" w:color="auto" w:fill="95B3D7" w:themeFill="accent1" w:themeFillTint="99"/>
            <w:vAlign w:val="center"/>
          </w:tcPr>
          <w:p w14:paraId="6AF4B7C1" w14:textId="599F4B9A" w:rsidR="00627C63" w:rsidRPr="006C6C4F" w:rsidRDefault="00627C63" w:rsidP="00E42050">
            <w:pPr>
              <w:jc w:val="center"/>
              <w:rPr>
                <w:rFonts w:ascii="Century Gothic" w:hAnsi="Century Gothic"/>
                <w:b/>
                <w:bCs/>
                <w:sz w:val="18"/>
                <w:szCs w:val="18"/>
              </w:rPr>
            </w:pPr>
            <w:bookmarkStart w:id="50" w:name="_Hlk496123712"/>
            <w:bookmarkStart w:id="51" w:name="_Hlk493688164"/>
            <w:r w:rsidRPr="006C6C4F">
              <w:rPr>
                <w:rFonts w:ascii="Century Gothic" w:hAnsi="Century Gothic"/>
                <w:b/>
                <w:bCs/>
                <w:sz w:val="18"/>
                <w:szCs w:val="18"/>
              </w:rPr>
              <w:t>Due diligence and security considerations</w:t>
            </w:r>
          </w:p>
        </w:tc>
        <w:tc>
          <w:tcPr>
            <w:tcW w:w="1109" w:type="pct"/>
            <w:shd w:val="clear" w:color="auto" w:fill="95B3D7" w:themeFill="accent1" w:themeFillTint="99"/>
            <w:vAlign w:val="center"/>
          </w:tcPr>
          <w:p w14:paraId="493A460C" w14:textId="77777777" w:rsidR="00627C63" w:rsidRPr="006C6C4F" w:rsidRDefault="00627C63" w:rsidP="00E42050">
            <w:pPr>
              <w:jc w:val="center"/>
              <w:rPr>
                <w:rFonts w:ascii="Century Gothic" w:hAnsi="Century Gothic"/>
                <w:b/>
                <w:bCs/>
                <w:sz w:val="18"/>
                <w:szCs w:val="18"/>
              </w:rPr>
            </w:pPr>
            <w:r w:rsidRPr="006C6C4F">
              <w:rPr>
                <w:rFonts w:ascii="Century Gothic" w:hAnsi="Century Gothic"/>
                <w:b/>
                <w:bCs/>
                <w:sz w:val="18"/>
                <w:szCs w:val="18"/>
              </w:rPr>
              <w:t>Procedure to verify due diligence and security considerations</w:t>
            </w:r>
          </w:p>
        </w:tc>
        <w:tc>
          <w:tcPr>
            <w:tcW w:w="1676" w:type="pct"/>
            <w:shd w:val="clear" w:color="auto" w:fill="95B3D7" w:themeFill="accent1" w:themeFillTint="99"/>
            <w:vAlign w:val="center"/>
          </w:tcPr>
          <w:p w14:paraId="5B9E1998" w14:textId="77777777" w:rsidR="00627C63" w:rsidRPr="006C6C4F" w:rsidRDefault="00627C63" w:rsidP="00E42050">
            <w:pPr>
              <w:jc w:val="center"/>
              <w:rPr>
                <w:rFonts w:ascii="Century Gothic" w:hAnsi="Century Gothic"/>
                <w:b/>
                <w:bCs/>
                <w:sz w:val="18"/>
                <w:szCs w:val="18"/>
              </w:rPr>
            </w:pPr>
            <w:r w:rsidRPr="006C6C4F">
              <w:rPr>
                <w:rFonts w:ascii="Century Gothic" w:hAnsi="Century Gothic"/>
                <w:b/>
                <w:bCs/>
                <w:sz w:val="18"/>
                <w:szCs w:val="18"/>
              </w:rPr>
              <w:t>Competent authorities and non-public bodies</w:t>
            </w:r>
          </w:p>
        </w:tc>
        <w:tc>
          <w:tcPr>
            <w:tcW w:w="1113" w:type="pct"/>
            <w:shd w:val="clear" w:color="auto" w:fill="95B3D7" w:themeFill="accent1" w:themeFillTint="99"/>
            <w:vAlign w:val="center"/>
          </w:tcPr>
          <w:p w14:paraId="5B48B0E3" w14:textId="4F2445A9" w:rsidR="00627C63" w:rsidRPr="006C6C4F" w:rsidRDefault="00627C63" w:rsidP="00E42050">
            <w:pPr>
              <w:jc w:val="center"/>
              <w:rPr>
                <w:rFonts w:ascii="Century Gothic" w:hAnsi="Century Gothic"/>
                <w:b/>
                <w:bCs/>
                <w:sz w:val="18"/>
                <w:szCs w:val="18"/>
              </w:rPr>
            </w:pPr>
            <w:r w:rsidRPr="006C6C4F">
              <w:rPr>
                <w:rFonts w:ascii="Century Gothic" w:hAnsi="Century Gothic"/>
                <w:b/>
                <w:bCs/>
                <w:sz w:val="18"/>
                <w:szCs w:val="18"/>
              </w:rPr>
              <w:t>Ex-post checks</w:t>
            </w:r>
          </w:p>
        </w:tc>
      </w:tr>
      <w:tr w:rsidR="00627C63" w:rsidRPr="006C6C4F" w14:paraId="61B9A7A1" w14:textId="77777777" w:rsidTr="00E42050">
        <w:tc>
          <w:tcPr>
            <w:tcW w:w="1102" w:type="pct"/>
            <w:shd w:val="clear" w:color="auto" w:fill="D9D9D9" w:themeFill="background1" w:themeFillShade="D9"/>
          </w:tcPr>
          <w:p w14:paraId="178B0733" w14:textId="77777777" w:rsidR="00627C63" w:rsidRPr="006C6C4F" w:rsidRDefault="00627C63" w:rsidP="00AE78BA">
            <w:pPr>
              <w:pStyle w:val="ListParagraph"/>
              <w:numPr>
                <w:ilvl w:val="0"/>
                <w:numId w:val="9"/>
              </w:numPr>
              <w:ind w:left="360"/>
              <w:contextualSpacing w:val="0"/>
              <w:rPr>
                <w:rFonts w:ascii="Century Gothic" w:hAnsi="Century Gothic"/>
                <w:bCs/>
                <w:i/>
                <w:color w:val="FF0000"/>
                <w:sz w:val="18"/>
                <w:szCs w:val="18"/>
              </w:rPr>
            </w:pPr>
            <w:r w:rsidRPr="006C6C4F">
              <w:rPr>
                <w:rFonts w:ascii="Century Gothic" w:hAnsi="Century Gothic" w:cs="Calibri"/>
                <w:color w:val="000000"/>
                <w:sz w:val="18"/>
                <w:szCs w:val="18"/>
                <w:lang w:eastAsia="en-GB"/>
              </w:rPr>
              <w:t>From 3 May 2015</w:t>
            </w:r>
            <w:r w:rsidRPr="004C4CE9">
              <w:rPr>
                <w:rStyle w:val="FootnoteReference"/>
              </w:rPr>
              <w:footnoteReference w:id="185"/>
            </w:r>
            <w:r w:rsidRPr="006C6C4F">
              <w:rPr>
                <w:rFonts w:ascii="Century Gothic" w:hAnsi="Century Gothic" w:cs="Calibri"/>
                <w:color w:val="000000"/>
                <w:sz w:val="18"/>
                <w:szCs w:val="18"/>
                <w:lang w:eastAsia="en-GB"/>
              </w:rPr>
              <w:t xml:space="preserve"> foreigners applying for a TRP for the first time</w:t>
            </w:r>
            <w:r w:rsidRPr="004C4CE9">
              <w:rPr>
                <w:rStyle w:val="FootnoteReference"/>
              </w:rPr>
              <w:footnoteReference w:id="186"/>
            </w:r>
            <w:r w:rsidRPr="006C6C4F">
              <w:rPr>
                <w:rFonts w:ascii="Century Gothic" w:hAnsi="Century Gothic" w:cs="Calibri"/>
                <w:color w:val="000000"/>
                <w:sz w:val="18"/>
                <w:szCs w:val="18"/>
                <w:lang w:eastAsia="en-GB"/>
              </w:rPr>
              <w:t xml:space="preserve"> must submit, along with the application, a certificate of non-conviction issued by the </w:t>
            </w:r>
            <w:r w:rsidRPr="006C6C4F">
              <w:rPr>
                <w:rFonts w:ascii="Century Gothic" w:hAnsi="Century Gothic" w:cs="Calibri"/>
                <w:color w:val="000000"/>
                <w:sz w:val="18"/>
                <w:szCs w:val="18"/>
                <w:lang w:eastAsia="en-GB"/>
              </w:rPr>
              <w:lastRenderedPageBreak/>
              <w:t xml:space="preserve">competent authority of a foreign state in which they resided two years prior to the entry into the Republic of Lithuania or </w:t>
            </w:r>
            <w:r w:rsidR="00DD37B4" w:rsidRPr="006C6C4F">
              <w:rPr>
                <w:rFonts w:ascii="Century Gothic" w:hAnsi="Century Gothic" w:cs="Calibri"/>
                <w:color w:val="000000"/>
                <w:sz w:val="18"/>
                <w:szCs w:val="18"/>
                <w:lang w:eastAsia="en-GB"/>
              </w:rPr>
              <w:t>are</w:t>
            </w:r>
            <w:r w:rsidRPr="006C6C4F">
              <w:rPr>
                <w:rFonts w:ascii="Century Gothic" w:hAnsi="Century Gothic" w:cs="Calibri"/>
                <w:color w:val="000000"/>
                <w:sz w:val="18"/>
                <w:szCs w:val="18"/>
                <w:lang w:eastAsia="en-GB"/>
              </w:rPr>
              <w:t xml:space="preserve"> currently residing.</w:t>
            </w:r>
            <w:r w:rsidRPr="004C4CE9">
              <w:rPr>
                <w:rStyle w:val="FootnoteReference"/>
              </w:rPr>
              <w:footnoteReference w:id="187"/>
            </w:r>
          </w:p>
          <w:p w14:paraId="4B9FE3E7" w14:textId="27122212" w:rsidR="00627C63" w:rsidRPr="006C6C4F" w:rsidRDefault="00627C63" w:rsidP="00AE78BA">
            <w:pPr>
              <w:pStyle w:val="ListParagraph"/>
              <w:numPr>
                <w:ilvl w:val="0"/>
                <w:numId w:val="9"/>
              </w:numPr>
              <w:ind w:left="360"/>
              <w:rPr>
                <w:rFonts w:ascii="Century Gothic" w:hAnsi="Century Gothic"/>
                <w:bCs/>
                <w:sz w:val="18"/>
                <w:szCs w:val="18"/>
              </w:rPr>
            </w:pPr>
            <w:r w:rsidRPr="006C6C4F">
              <w:rPr>
                <w:rFonts w:ascii="Century Gothic" w:hAnsi="Century Gothic"/>
                <w:sz w:val="18"/>
                <w:szCs w:val="18"/>
              </w:rPr>
              <w:t>By default, these prior checks do not cover the origin of the money invested.</w:t>
            </w:r>
            <w:r w:rsidRPr="004C4CE9">
              <w:rPr>
                <w:rStyle w:val="FootnoteReference"/>
              </w:rPr>
              <w:footnoteReference w:id="188"/>
            </w:r>
            <w:r w:rsidRPr="006C6C4F">
              <w:rPr>
                <w:rFonts w:ascii="Century Gothic" w:hAnsi="Century Gothic"/>
                <w:sz w:val="18"/>
                <w:szCs w:val="18"/>
              </w:rPr>
              <w:t xml:space="preserve"> However, this can be uncovered if there is suspicion of a fictitious company and an investigation is started on this ground, as </w:t>
            </w:r>
            <w:r w:rsidR="00EC3A69">
              <w:rPr>
                <w:rFonts w:ascii="Century Gothic" w:hAnsi="Century Gothic"/>
                <w:sz w:val="18"/>
                <w:szCs w:val="18"/>
              </w:rPr>
              <w:t>provided</w:t>
            </w:r>
            <w:r w:rsidR="00EC3A69" w:rsidRPr="006C6C4F">
              <w:rPr>
                <w:rFonts w:ascii="Century Gothic" w:hAnsi="Century Gothic"/>
                <w:sz w:val="18"/>
                <w:szCs w:val="18"/>
              </w:rPr>
              <w:t xml:space="preserve"> </w:t>
            </w:r>
            <w:r w:rsidRPr="006C6C4F">
              <w:rPr>
                <w:rFonts w:ascii="Century Gothic" w:hAnsi="Century Gothic"/>
                <w:sz w:val="18"/>
                <w:szCs w:val="18"/>
              </w:rPr>
              <w:t xml:space="preserve">in Article 45.5 LLSA and </w:t>
            </w:r>
            <w:r w:rsidR="00030622" w:rsidRPr="006C6C4F">
              <w:rPr>
                <w:rFonts w:ascii="Century Gothic" w:hAnsi="Century Gothic"/>
                <w:sz w:val="18"/>
                <w:szCs w:val="18"/>
              </w:rPr>
              <w:t xml:space="preserve">Articles </w:t>
            </w:r>
            <w:r w:rsidRPr="006C6C4F">
              <w:rPr>
                <w:rFonts w:ascii="Century Gothic" w:hAnsi="Century Gothic"/>
                <w:sz w:val="18"/>
                <w:szCs w:val="18"/>
              </w:rPr>
              <w:t>100-100.12 TRP Rules.</w:t>
            </w:r>
          </w:p>
          <w:p w14:paraId="4FF6ED7C" w14:textId="77777777" w:rsidR="00F42B45" w:rsidRPr="006C6C4F" w:rsidRDefault="00F42B45" w:rsidP="00AE78BA">
            <w:pPr>
              <w:pStyle w:val="ListParagraph"/>
              <w:numPr>
                <w:ilvl w:val="0"/>
                <w:numId w:val="9"/>
              </w:numPr>
              <w:ind w:left="360"/>
              <w:rPr>
                <w:rFonts w:ascii="Century Gothic" w:hAnsi="Century Gothic"/>
                <w:bCs/>
                <w:sz w:val="18"/>
                <w:szCs w:val="18"/>
              </w:rPr>
            </w:pPr>
            <w:r w:rsidRPr="006C6C4F">
              <w:rPr>
                <w:rFonts w:ascii="Century Gothic" w:hAnsi="Century Gothic"/>
                <w:sz w:val="18"/>
                <w:szCs w:val="18"/>
              </w:rPr>
              <w:t xml:space="preserve">There are also due diligence checks if document </w:t>
            </w:r>
            <w:r w:rsidRPr="006C6C4F">
              <w:rPr>
                <w:rFonts w:ascii="Century Gothic" w:hAnsi="Century Gothic"/>
                <w:bCs/>
                <w:sz w:val="18"/>
                <w:szCs w:val="18"/>
              </w:rPr>
              <w:t>forgery is uncovered.</w:t>
            </w:r>
            <w:r w:rsidRPr="004C4CE9">
              <w:rPr>
                <w:rStyle w:val="FootnoteReference"/>
              </w:rPr>
              <w:footnoteReference w:id="189"/>
            </w:r>
          </w:p>
        </w:tc>
        <w:tc>
          <w:tcPr>
            <w:tcW w:w="1109" w:type="pct"/>
            <w:shd w:val="clear" w:color="auto" w:fill="D9D9D9" w:themeFill="background1" w:themeFillShade="D9"/>
          </w:tcPr>
          <w:p w14:paraId="4F017C59" w14:textId="77777777" w:rsidR="002B49C0" w:rsidRPr="006C6C4F" w:rsidRDefault="002B49C0" w:rsidP="004C4CE9">
            <w:pPr>
              <w:pStyle w:val="ListParagraph"/>
              <w:numPr>
                <w:ilvl w:val="0"/>
                <w:numId w:val="17"/>
              </w:numPr>
              <w:rPr>
                <w:rFonts w:ascii="Century Gothic" w:hAnsi="Century Gothic"/>
                <w:bCs/>
                <w:sz w:val="18"/>
                <w:szCs w:val="18"/>
              </w:rPr>
            </w:pPr>
            <w:r w:rsidRPr="006C6C4F">
              <w:rPr>
                <w:rFonts w:ascii="Century Gothic" w:hAnsi="Century Gothic"/>
                <w:bCs/>
                <w:sz w:val="18"/>
                <w:szCs w:val="18"/>
              </w:rPr>
              <w:lastRenderedPageBreak/>
              <w:t xml:space="preserve">The criteria applied for turning down applications based on due diligence checks are listed in Article 35.1 LSSA. </w:t>
            </w:r>
          </w:p>
          <w:p w14:paraId="070C350F" w14:textId="7DB1CFD2" w:rsidR="00627C63" w:rsidRPr="006C6C4F" w:rsidRDefault="00AE78BA" w:rsidP="004C4CE9">
            <w:pPr>
              <w:pStyle w:val="ListParagraph"/>
              <w:numPr>
                <w:ilvl w:val="0"/>
                <w:numId w:val="17"/>
              </w:numPr>
              <w:rPr>
                <w:rFonts w:ascii="Century Gothic" w:hAnsi="Century Gothic"/>
                <w:bCs/>
                <w:sz w:val="18"/>
                <w:szCs w:val="18"/>
              </w:rPr>
            </w:pPr>
            <w:r>
              <w:rPr>
                <w:rFonts w:ascii="Century Gothic" w:hAnsi="Century Gothic"/>
                <w:bCs/>
                <w:sz w:val="18"/>
                <w:szCs w:val="18"/>
              </w:rPr>
              <w:t>A clean cri</w:t>
            </w:r>
            <w:r w:rsidRPr="00AE78BA">
              <w:rPr>
                <w:rFonts w:ascii="Century Gothic" w:hAnsi="Century Gothic"/>
                <w:bCs/>
                <w:sz w:val="18"/>
                <w:szCs w:val="18"/>
              </w:rPr>
              <w:t xml:space="preserve">minal record </w:t>
            </w:r>
            <w:r w:rsidRPr="00AE78BA">
              <w:rPr>
                <w:rFonts w:ascii="Century Gothic" w:hAnsi="Century Gothic"/>
                <w:bCs/>
                <w:sz w:val="18"/>
                <w:szCs w:val="18"/>
              </w:rPr>
              <w:lastRenderedPageBreak/>
              <w:t>(</w:t>
            </w:r>
            <w:r w:rsidR="00627C63" w:rsidRPr="00AE78BA">
              <w:rPr>
                <w:rFonts w:ascii="Century Gothic" w:hAnsi="Century Gothic"/>
                <w:bCs/>
                <w:sz w:val="18"/>
                <w:szCs w:val="18"/>
              </w:rPr>
              <w:t>certificate of no</w:t>
            </w:r>
            <w:r w:rsidRPr="00AE78BA">
              <w:rPr>
                <w:rFonts w:ascii="Century Gothic" w:hAnsi="Century Gothic"/>
                <w:bCs/>
                <w:sz w:val="18"/>
                <w:szCs w:val="18"/>
              </w:rPr>
              <w:t>n</w:t>
            </w:r>
            <w:r w:rsidR="00627C63" w:rsidRPr="00AE78BA">
              <w:rPr>
                <w:rFonts w:ascii="Century Gothic" w:hAnsi="Century Gothic"/>
                <w:bCs/>
                <w:sz w:val="18"/>
                <w:szCs w:val="18"/>
              </w:rPr>
              <w:t>-conviction</w:t>
            </w:r>
            <w:r w:rsidRPr="00AE78BA">
              <w:rPr>
                <w:rFonts w:ascii="Century Gothic" w:hAnsi="Century Gothic"/>
                <w:bCs/>
                <w:sz w:val="18"/>
                <w:szCs w:val="18"/>
              </w:rPr>
              <w:t>)</w:t>
            </w:r>
            <w:r w:rsidR="00627C63" w:rsidRPr="006C6C4F">
              <w:rPr>
                <w:rFonts w:ascii="Century Gothic" w:hAnsi="Century Gothic"/>
                <w:bCs/>
                <w:sz w:val="18"/>
                <w:szCs w:val="18"/>
              </w:rPr>
              <w:t xml:space="preserve"> is required </w:t>
            </w:r>
            <w:r w:rsidR="00EE4D0E" w:rsidRPr="006C6C4F">
              <w:rPr>
                <w:rFonts w:ascii="Century Gothic" w:hAnsi="Century Gothic"/>
                <w:bCs/>
                <w:sz w:val="18"/>
                <w:szCs w:val="18"/>
              </w:rPr>
              <w:t>at the stage of a TRP application (Stage 1)</w:t>
            </w:r>
            <w:r w:rsidR="00EE4D0E" w:rsidRPr="004C4CE9">
              <w:rPr>
                <w:rStyle w:val="FootnoteReference"/>
              </w:rPr>
              <w:footnoteReference w:id="190"/>
            </w:r>
            <w:r w:rsidR="00EE4D0E" w:rsidRPr="006C6C4F">
              <w:rPr>
                <w:rFonts w:ascii="Century Gothic" w:hAnsi="Century Gothic"/>
                <w:bCs/>
                <w:sz w:val="18"/>
                <w:szCs w:val="18"/>
              </w:rPr>
              <w:t xml:space="preserve"> and </w:t>
            </w:r>
            <w:r w:rsidR="00627C63" w:rsidRPr="006C6C4F">
              <w:rPr>
                <w:rFonts w:ascii="Century Gothic" w:hAnsi="Century Gothic"/>
                <w:bCs/>
                <w:sz w:val="18"/>
                <w:szCs w:val="18"/>
              </w:rPr>
              <w:t xml:space="preserve">at </w:t>
            </w:r>
            <w:r w:rsidR="000853F5" w:rsidRPr="006C6C4F">
              <w:rPr>
                <w:rFonts w:ascii="Century Gothic" w:hAnsi="Century Gothic"/>
                <w:bCs/>
                <w:sz w:val="18"/>
                <w:szCs w:val="18"/>
              </w:rPr>
              <w:t>the examination of the application</w:t>
            </w:r>
            <w:r w:rsidR="00627C63" w:rsidRPr="006C6C4F">
              <w:rPr>
                <w:rFonts w:ascii="Century Gothic" w:hAnsi="Century Gothic"/>
                <w:bCs/>
                <w:sz w:val="18"/>
                <w:szCs w:val="18"/>
              </w:rPr>
              <w:t xml:space="preserve"> stage (Stage</w:t>
            </w:r>
            <w:r w:rsidR="000853F5" w:rsidRPr="006C6C4F">
              <w:rPr>
                <w:rFonts w:ascii="Century Gothic" w:hAnsi="Century Gothic"/>
                <w:bCs/>
                <w:sz w:val="18"/>
                <w:szCs w:val="18"/>
              </w:rPr>
              <w:t xml:space="preserve"> 2</w:t>
            </w:r>
            <w:r w:rsidR="00627C63" w:rsidRPr="006C6C4F">
              <w:rPr>
                <w:rFonts w:ascii="Century Gothic" w:hAnsi="Century Gothic"/>
                <w:bCs/>
                <w:sz w:val="18"/>
                <w:szCs w:val="18"/>
              </w:rPr>
              <w:t>).</w:t>
            </w:r>
            <w:r w:rsidR="009E46ED" w:rsidRPr="004C4CE9">
              <w:rPr>
                <w:rStyle w:val="FootnoteReference"/>
              </w:rPr>
              <w:footnoteReference w:id="191"/>
            </w:r>
          </w:p>
          <w:p w14:paraId="7A5C21F0" w14:textId="041B5BFB" w:rsidR="00627C63" w:rsidRPr="006C6C4F" w:rsidRDefault="009769EF" w:rsidP="004C4CE9">
            <w:pPr>
              <w:pStyle w:val="ListParagraph"/>
              <w:numPr>
                <w:ilvl w:val="0"/>
                <w:numId w:val="17"/>
              </w:numPr>
              <w:rPr>
                <w:rFonts w:ascii="Century Gothic" w:hAnsi="Century Gothic"/>
                <w:bCs/>
                <w:sz w:val="18"/>
                <w:szCs w:val="18"/>
              </w:rPr>
            </w:pPr>
            <w:r w:rsidRPr="006C6C4F">
              <w:rPr>
                <w:rFonts w:ascii="Century Gothic" w:hAnsi="Century Gothic"/>
                <w:bCs/>
                <w:sz w:val="18"/>
                <w:szCs w:val="18"/>
              </w:rPr>
              <w:t>The fictitious company (genuine business presence) checks are carried out at the stage of a TRP application (Stage 1)</w:t>
            </w:r>
            <w:r w:rsidRPr="00B12505">
              <w:rPr>
                <w:rStyle w:val="FootnoteReference"/>
              </w:rPr>
              <w:footnoteReference w:id="192"/>
            </w:r>
            <w:r w:rsidRPr="006C6C4F">
              <w:rPr>
                <w:rFonts w:ascii="Century Gothic" w:hAnsi="Century Gothic"/>
                <w:bCs/>
                <w:sz w:val="18"/>
                <w:szCs w:val="18"/>
              </w:rPr>
              <w:t xml:space="preserve"> and at the examination of the application (Stage 2)</w:t>
            </w:r>
            <w:r w:rsidR="00AC4953">
              <w:rPr>
                <w:rFonts w:ascii="Century Gothic" w:hAnsi="Century Gothic"/>
                <w:bCs/>
                <w:sz w:val="18"/>
                <w:szCs w:val="18"/>
              </w:rPr>
              <w:t>.</w:t>
            </w:r>
            <w:r w:rsidRPr="00B12505">
              <w:rPr>
                <w:rStyle w:val="FootnoteReference"/>
              </w:rPr>
              <w:footnoteReference w:id="193"/>
            </w:r>
          </w:p>
          <w:p w14:paraId="3B8EFBCF" w14:textId="7C2C8B04" w:rsidR="00627C63" w:rsidRPr="006C6C4F" w:rsidRDefault="00627C63" w:rsidP="004C4CE9">
            <w:pPr>
              <w:pStyle w:val="ListParagraph"/>
              <w:numPr>
                <w:ilvl w:val="0"/>
                <w:numId w:val="17"/>
              </w:numPr>
              <w:rPr>
                <w:rFonts w:ascii="Century Gothic" w:hAnsi="Century Gothic"/>
                <w:bCs/>
                <w:sz w:val="18"/>
                <w:szCs w:val="18"/>
              </w:rPr>
            </w:pPr>
            <w:r w:rsidRPr="006C6C4F">
              <w:rPr>
                <w:rFonts w:ascii="Century Gothic" w:hAnsi="Century Gothic"/>
                <w:bCs/>
                <w:sz w:val="18"/>
                <w:szCs w:val="18"/>
              </w:rPr>
              <w:t>The law does not set any frequency with which such checks should be carried out, especially after the TRP was granted.</w:t>
            </w:r>
          </w:p>
          <w:p w14:paraId="775F0558" w14:textId="53DE1655" w:rsidR="00627C63" w:rsidRPr="00AE78BA" w:rsidRDefault="00627C63" w:rsidP="004C4CE9">
            <w:pPr>
              <w:pStyle w:val="ListParagraph"/>
              <w:numPr>
                <w:ilvl w:val="0"/>
                <w:numId w:val="17"/>
              </w:numPr>
              <w:rPr>
                <w:rFonts w:ascii="Century Gothic" w:hAnsi="Century Gothic"/>
                <w:bCs/>
                <w:sz w:val="18"/>
                <w:szCs w:val="18"/>
              </w:rPr>
            </w:pPr>
            <w:r w:rsidRPr="006C6C4F">
              <w:rPr>
                <w:rFonts w:ascii="Century Gothic" w:hAnsi="Century Gothic"/>
                <w:bCs/>
                <w:sz w:val="18"/>
                <w:szCs w:val="18"/>
              </w:rPr>
              <w:t xml:space="preserve">The type and gravity of </w:t>
            </w:r>
            <w:r w:rsidR="00604C76" w:rsidRPr="006C6C4F">
              <w:rPr>
                <w:rFonts w:ascii="Century Gothic" w:hAnsi="Century Gothic"/>
                <w:bCs/>
                <w:sz w:val="18"/>
                <w:szCs w:val="18"/>
              </w:rPr>
              <w:t xml:space="preserve">a </w:t>
            </w:r>
            <w:r w:rsidRPr="006C6C4F">
              <w:rPr>
                <w:rFonts w:ascii="Century Gothic" w:hAnsi="Century Gothic"/>
                <w:bCs/>
                <w:sz w:val="18"/>
                <w:szCs w:val="18"/>
              </w:rPr>
              <w:t xml:space="preserve">crime or the stage of criminal </w:t>
            </w:r>
            <w:r w:rsidR="00EB0C16" w:rsidRPr="006C6C4F">
              <w:rPr>
                <w:rFonts w:ascii="Century Gothic" w:hAnsi="Century Gothic"/>
                <w:bCs/>
                <w:sz w:val="18"/>
                <w:szCs w:val="18"/>
              </w:rPr>
              <w:t xml:space="preserve">procedure when the case ended </w:t>
            </w:r>
            <w:r w:rsidR="00F91CFB" w:rsidRPr="006C6C4F">
              <w:rPr>
                <w:rFonts w:ascii="Century Gothic" w:hAnsi="Century Gothic"/>
                <w:bCs/>
                <w:sz w:val="18"/>
                <w:szCs w:val="18"/>
              </w:rPr>
              <w:t xml:space="preserve">is taken into consideration when deciding </w:t>
            </w:r>
            <w:r w:rsidR="00604C76" w:rsidRPr="006C6C4F">
              <w:rPr>
                <w:rFonts w:ascii="Century Gothic" w:hAnsi="Century Gothic"/>
                <w:bCs/>
                <w:sz w:val="18"/>
                <w:szCs w:val="18"/>
              </w:rPr>
              <w:t xml:space="preserve">about </w:t>
            </w:r>
            <w:r w:rsidR="00F91CFB" w:rsidRPr="006C6C4F">
              <w:rPr>
                <w:rFonts w:ascii="Century Gothic" w:hAnsi="Century Gothic"/>
                <w:bCs/>
                <w:sz w:val="18"/>
                <w:szCs w:val="18"/>
              </w:rPr>
              <w:t xml:space="preserve">the gravity of the person’s danger to the public order, </w:t>
            </w:r>
            <w:r w:rsidR="000B1115" w:rsidRPr="006C6C4F">
              <w:rPr>
                <w:rFonts w:ascii="Century Gothic" w:hAnsi="Century Gothic"/>
                <w:bCs/>
                <w:sz w:val="18"/>
                <w:szCs w:val="18"/>
              </w:rPr>
              <w:t>especially</w:t>
            </w:r>
            <w:r w:rsidR="00F91CFB" w:rsidRPr="006C6C4F">
              <w:rPr>
                <w:rFonts w:ascii="Century Gothic" w:hAnsi="Century Gothic"/>
                <w:bCs/>
                <w:sz w:val="18"/>
                <w:szCs w:val="18"/>
              </w:rPr>
              <w:t xml:space="preserve"> for the foreign investors who </w:t>
            </w:r>
            <w:r w:rsidR="00F91CFB" w:rsidRPr="006C6C4F">
              <w:rPr>
                <w:rFonts w:ascii="Century Gothic" w:hAnsi="Century Gothic"/>
                <w:bCs/>
                <w:sz w:val="18"/>
                <w:szCs w:val="18"/>
              </w:rPr>
              <w:lastRenderedPageBreak/>
              <w:t>apply for a TRP while resident in Lithuania</w:t>
            </w:r>
            <w:r w:rsidR="00651A69" w:rsidRPr="006C6C4F">
              <w:rPr>
                <w:rFonts w:ascii="Century Gothic" w:hAnsi="Century Gothic"/>
                <w:bCs/>
                <w:sz w:val="18"/>
                <w:szCs w:val="18"/>
              </w:rPr>
              <w:t>: the Police Department will check for the specific cat</w:t>
            </w:r>
            <w:r w:rsidR="00651A69" w:rsidRPr="00AE78BA">
              <w:rPr>
                <w:rFonts w:ascii="Century Gothic" w:hAnsi="Century Gothic"/>
                <w:bCs/>
                <w:sz w:val="18"/>
                <w:szCs w:val="18"/>
              </w:rPr>
              <w:t>egories of offences (criminal, administrative etc)</w:t>
            </w:r>
            <w:r w:rsidR="00F91CFB" w:rsidRPr="00AE78BA">
              <w:rPr>
                <w:rFonts w:ascii="Century Gothic" w:hAnsi="Century Gothic"/>
                <w:bCs/>
                <w:sz w:val="18"/>
                <w:szCs w:val="18"/>
              </w:rPr>
              <w:t>.</w:t>
            </w:r>
            <w:r w:rsidR="00F91CFB" w:rsidRPr="004C4CE9">
              <w:rPr>
                <w:rStyle w:val="FootnoteReference"/>
              </w:rPr>
              <w:footnoteReference w:id="194"/>
            </w:r>
          </w:p>
          <w:p w14:paraId="135CF64F" w14:textId="49014098" w:rsidR="00546CB5" w:rsidRPr="006C6C4F" w:rsidRDefault="001049BA" w:rsidP="004C4CE9">
            <w:pPr>
              <w:pStyle w:val="ListParagraph"/>
              <w:numPr>
                <w:ilvl w:val="0"/>
                <w:numId w:val="17"/>
              </w:numPr>
              <w:rPr>
                <w:rFonts w:ascii="Century Gothic" w:hAnsi="Century Gothic"/>
                <w:bCs/>
                <w:sz w:val="18"/>
                <w:szCs w:val="18"/>
              </w:rPr>
            </w:pPr>
            <w:r w:rsidRPr="00AE78BA">
              <w:rPr>
                <w:rFonts w:ascii="Century Gothic" w:hAnsi="Century Gothic"/>
                <w:bCs/>
                <w:sz w:val="18"/>
                <w:szCs w:val="18"/>
              </w:rPr>
              <w:t xml:space="preserve">If a foreigner provides a </w:t>
            </w:r>
            <w:r w:rsidR="00AE78BA" w:rsidRPr="00AE78BA">
              <w:rPr>
                <w:rFonts w:ascii="Century Gothic" w:hAnsi="Century Gothic"/>
                <w:bCs/>
                <w:sz w:val="18"/>
                <w:szCs w:val="18"/>
              </w:rPr>
              <w:t>clean criminal record (</w:t>
            </w:r>
            <w:r w:rsidRPr="00AE78BA">
              <w:rPr>
                <w:rFonts w:ascii="Century Gothic" w:hAnsi="Century Gothic"/>
                <w:bCs/>
                <w:sz w:val="18"/>
                <w:szCs w:val="18"/>
              </w:rPr>
              <w:t>certificate of</w:t>
            </w:r>
            <w:r w:rsidR="00AE78BA" w:rsidRPr="00AE78BA">
              <w:rPr>
                <w:rFonts w:ascii="Century Gothic" w:hAnsi="Century Gothic"/>
                <w:bCs/>
                <w:sz w:val="18"/>
                <w:szCs w:val="18"/>
              </w:rPr>
              <w:t xml:space="preserve"> non-</w:t>
            </w:r>
            <w:r w:rsidRPr="00AE78BA">
              <w:rPr>
                <w:rFonts w:ascii="Century Gothic" w:hAnsi="Century Gothic"/>
                <w:bCs/>
                <w:sz w:val="18"/>
                <w:szCs w:val="18"/>
              </w:rPr>
              <w:t xml:space="preserve"> conviction</w:t>
            </w:r>
            <w:r w:rsidR="00AE78BA" w:rsidRPr="00AE78BA">
              <w:rPr>
                <w:rFonts w:ascii="Century Gothic" w:hAnsi="Century Gothic"/>
                <w:bCs/>
                <w:sz w:val="18"/>
                <w:szCs w:val="18"/>
              </w:rPr>
              <w:t>)</w:t>
            </w:r>
            <w:r w:rsidRPr="00AE78BA">
              <w:rPr>
                <w:rFonts w:ascii="Century Gothic" w:hAnsi="Century Gothic"/>
                <w:bCs/>
                <w:sz w:val="18"/>
                <w:szCs w:val="18"/>
              </w:rPr>
              <w:t xml:space="preserve"> from a foreign authority, it must</w:t>
            </w:r>
            <w:r w:rsidRPr="006C6C4F">
              <w:rPr>
                <w:rFonts w:ascii="Century Gothic" w:hAnsi="Century Gothic"/>
                <w:bCs/>
                <w:sz w:val="18"/>
                <w:szCs w:val="18"/>
              </w:rPr>
              <w:t xml:space="preserve"> cover the time period no later than one month before his/her visa issue date and must state when and for what activity the foreigner was convicted, what penalty was set and whether the </w:t>
            </w:r>
            <w:r w:rsidR="00EC3A69">
              <w:rPr>
                <w:rFonts w:ascii="Century Gothic" w:hAnsi="Century Gothic"/>
                <w:bCs/>
                <w:sz w:val="18"/>
                <w:szCs w:val="18"/>
              </w:rPr>
              <w:t xml:space="preserve">sentence has </w:t>
            </w:r>
            <w:r w:rsidRPr="006C6C4F">
              <w:rPr>
                <w:rFonts w:ascii="Century Gothic" w:hAnsi="Century Gothic"/>
                <w:bCs/>
                <w:sz w:val="18"/>
                <w:szCs w:val="18"/>
              </w:rPr>
              <w:t xml:space="preserve">been </w:t>
            </w:r>
            <w:r w:rsidR="00EC3A69">
              <w:rPr>
                <w:rFonts w:ascii="Century Gothic" w:hAnsi="Century Gothic"/>
                <w:bCs/>
                <w:sz w:val="18"/>
                <w:szCs w:val="18"/>
              </w:rPr>
              <w:t>served</w:t>
            </w:r>
            <w:r w:rsidRPr="006C6C4F">
              <w:rPr>
                <w:rFonts w:ascii="Century Gothic" w:hAnsi="Century Gothic"/>
                <w:bCs/>
                <w:sz w:val="18"/>
                <w:szCs w:val="18"/>
              </w:rPr>
              <w:t>.</w:t>
            </w:r>
            <w:r w:rsidR="00784B57" w:rsidRPr="004C4CE9">
              <w:rPr>
                <w:rStyle w:val="FootnoteReference"/>
              </w:rPr>
              <w:footnoteReference w:id="195"/>
            </w:r>
          </w:p>
        </w:tc>
        <w:tc>
          <w:tcPr>
            <w:tcW w:w="1676" w:type="pct"/>
            <w:shd w:val="clear" w:color="auto" w:fill="D9D9D9" w:themeFill="background1" w:themeFillShade="D9"/>
          </w:tcPr>
          <w:p w14:paraId="7061F98E" w14:textId="5017F37D" w:rsidR="00627C63" w:rsidRPr="006C6C4F" w:rsidRDefault="00627C63" w:rsidP="004C4CE9">
            <w:pPr>
              <w:pStyle w:val="ListParagraph"/>
              <w:numPr>
                <w:ilvl w:val="0"/>
                <w:numId w:val="17"/>
              </w:numPr>
              <w:rPr>
                <w:rFonts w:ascii="Century Gothic" w:hAnsi="Century Gothic"/>
                <w:bCs/>
                <w:sz w:val="18"/>
                <w:szCs w:val="18"/>
              </w:rPr>
            </w:pPr>
            <w:r w:rsidRPr="006C6C4F">
              <w:rPr>
                <w:rFonts w:ascii="Century Gothic" w:hAnsi="Century Gothic"/>
                <w:bCs/>
                <w:sz w:val="18"/>
                <w:szCs w:val="18"/>
              </w:rPr>
              <w:lastRenderedPageBreak/>
              <w:t xml:space="preserve">The competent authorities are not different from the ones that check due diligence criteria and security considerations in the general procedure. </w:t>
            </w:r>
          </w:p>
          <w:p w14:paraId="79AFBA03" w14:textId="77777777" w:rsidR="002860A4" w:rsidRPr="006C6C4F" w:rsidRDefault="00627C63" w:rsidP="004C4CE9">
            <w:pPr>
              <w:pStyle w:val="ListParagraph"/>
              <w:numPr>
                <w:ilvl w:val="0"/>
                <w:numId w:val="17"/>
              </w:numPr>
              <w:rPr>
                <w:rFonts w:ascii="Century Gothic" w:hAnsi="Century Gothic"/>
                <w:bCs/>
                <w:sz w:val="18"/>
                <w:szCs w:val="18"/>
              </w:rPr>
            </w:pPr>
            <w:r w:rsidRPr="006C6C4F">
              <w:rPr>
                <w:rFonts w:ascii="Century Gothic" w:hAnsi="Century Gothic"/>
                <w:bCs/>
                <w:sz w:val="18"/>
                <w:szCs w:val="18"/>
              </w:rPr>
              <w:t>The key function</w:t>
            </w:r>
            <w:r w:rsidR="00FC0751" w:rsidRPr="006C6C4F">
              <w:rPr>
                <w:rFonts w:ascii="Century Gothic" w:hAnsi="Century Gothic"/>
                <w:bCs/>
                <w:sz w:val="18"/>
                <w:szCs w:val="18"/>
              </w:rPr>
              <w:t xml:space="preserve"> here</w:t>
            </w:r>
            <w:r w:rsidRPr="006C6C4F">
              <w:rPr>
                <w:rFonts w:ascii="Century Gothic" w:hAnsi="Century Gothic"/>
                <w:bCs/>
                <w:sz w:val="18"/>
                <w:szCs w:val="18"/>
              </w:rPr>
              <w:t xml:space="preserve"> is performed by </w:t>
            </w:r>
            <w:r w:rsidR="00146F91" w:rsidRPr="006C6C4F">
              <w:rPr>
                <w:rFonts w:ascii="Century Gothic" w:hAnsi="Century Gothic"/>
                <w:bCs/>
                <w:sz w:val="18"/>
                <w:szCs w:val="18"/>
              </w:rPr>
              <w:t xml:space="preserve">the </w:t>
            </w:r>
            <w:r w:rsidRPr="006C6C4F">
              <w:rPr>
                <w:rFonts w:ascii="Century Gothic" w:hAnsi="Century Gothic"/>
                <w:bCs/>
                <w:sz w:val="18"/>
                <w:szCs w:val="18"/>
              </w:rPr>
              <w:t xml:space="preserve">Migration Department, </w:t>
            </w:r>
            <w:r w:rsidR="002860A4" w:rsidRPr="006C6C4F">
              <w:rPr>
                <w:rFonts w:ascii="Century Gothic" w:hAnsi="Century Gothic"/>
                <w:bCs/>
                <w:sz w:val="18"/>
                <w:szCs w:val="18"/>
              </w:rPr>
              <w:t xml:space="preserve">with criminal record </w:t>
            </w:r>
            <w:r w:rsidR="002860A4" w:rsidRPr="006C6C4F">
              <w:rPr>
                <w:rFonts w:ascii="Century Gothic" w:hAnsi="Century Gothic"/>
                <w:bCs/>
                <w:sz w:val="18"/>
                <w:szCs w:val="18"/>
              </w:rPr>
              <w:lastRenderedPageBreak/>
              <w:t>and other public offences checks carried out by the Police Department.</w:t>
            </w:r>
            <w:r w:rsidR="00435171" w:rsidRPr="004C4CE9">
              <w:rPr>
                <w:rStyle w:val="FootnoteReference"/>
              </w:rPr>
              <w:footnoteReference w:id="196"/>
            </w:r>
          </w:p>
          <w:p w14:paraId="658007FD" w14:textId="77777777" w:rsidR="00627C63" w:rsidRPr="006C6C4F" w:rsidRDefault="002860A4" w:rsidP="004C4CE9">
            <w:pPr>
              <w:pStyle w:val="ListParagraph"/>
              <w:numPr>
                <w:ilvl w:val="0"/>
                <w:numId w:val="17"/>
              </w:numPr>
              <w:rPr>
                <w:rFonts w:ascii="Century Gothic" w:hAnsi="Century Gothic"/>
                <w:bCs/>
                <w:sz w:val="18"/>
                <w:szCs w:val="18"/>
              </w:rPr>
            </w:pPr>
            <w:r w:rsidRPr="006C6C4F">
              <w:rPr>
                <w:rFonts w:ascii="Century Gothic" w:hAnsi="Century Gothic"/>
                <w:bCs/>
                <w:sz w:val="18"/>
                <w:szCs w:val="18"/>
              </w:rPr>
              <w:t>The Migration Department cooperates</w:t>
            </w:r>
            <w:r w:rsidR="00627C63" w:rsidRPr="006C6C4F">
              <w:rPr>
                <w:rFonts w:ascii="Century Gothic" w:hAnsi="Century Gothic"/>
                <w:bCs/>
                <w:sz w:val="18"/>
                <w:szCs w:val="18"/>
              </w:rPr>
              <w:t xml:space="preserve"> with </w:t>
            </w:r>
            <w:r w:rsidRPr="006C6C4F">
              <w:rPr>
                <w:rFonts w:ascii="Century Gothic" w:hAnsi="Century Gothic"/>
                <w:bCs/>
                <w:sz w:val="18"/>
                <w:szCs w:val="18"/>
              </w:rPr>
              <w:t xml:space="preserve">other </w:t>
            </w:r>
            <w:r w:rsidR="00627C63" w:rsidRPr="006C6C4F">
              <w:rPr>
                <w:rFonts w:ascii="Century Gothic" w:hAnsi="Century Gothic"/>
                <w:bCs/>
                <w:sz w:val="18"/>
                <w:szCs w:val="18"/>
              </w:rPr>
              <w:t>relevant public agencies and institutions:</w:t>
            </w:r>
          </w:p>
          <w:p w14:paraId="7BBF5B55" w14:textId="77777777" w:rsidR="00627C63" w:rsidRPr="006C6C4F" w:rsidRDefault="00627C63" w:rsidP="004C4CE9">
            <w:pPr>
              <w:pStyle w:val="MMultilevel"/>
              <w:numPr>
                <w:ilvl w:val="1"/>
                <w:numId w:val="17"/>
              </w:numPr>
              <w:rPr>
                <w:rFonts w:ascii="Century Gothic" w:hAnsi="Century Gothic"/>
                <w:sz w:val="18"/>
                <w:szCs w:val="18"/>
                <w:lang w:val="en-GB"/>
              </w:rPr>
            </w:pPr>
            <w:r w:rsidRPr="006C6C4F">
              <w:rPr>
                <w:rFonts w:ascii="Century Gothic" w:hAnsi="Century Gothic"/>
                <w:sz w:val="18"/>
                <w:szCs w:val="18"/>
                <w:lang w:val="en-GB"/>
              </w:rPr>
              <w:t xml:space="preserve">Register of Administrative Offences </w:t>
            </w:r>
          </w:p>
          <w:p w14:paraId="771FD7B1" w14:textId="77777777" w:rsidR="00627C63" w:rsidRPr="006C6C4F" w:rsidRDefault="00627C63" w:rsidP="004C4CE9">
            <w:pPr>
              <w:pStyle w:val="MMultilevel"/>
              <w:numPr>
                <w:ilvl w:val="1"/>
                <w:numId w:val="17"/>
              </w:numPr>
              <w:rPr>
                <w:rFonts w:ascii="Century Gothic" w:hAnsi="Century Gothic"/>
                <w:sz w:val="18"/>
                <w:szCs w:val="18"/>
                <w:lang w:val="en-GB"/>
              </w:rPr>
            </w:pPr>
            <w:r w:rsidRPr="006C6C4F">
              <w:rPr>
                <w:rFonts w:ascii="Century Gothic" w:hAnsi="Century Gothic"/>
                <w:sz w:val="18"/>
                <w:szCs w:val="18"/>
                <w:lang w:val="en-GB"/>
              </w:rPr>
              <w:t xml:space="preserve">Register of Suspected, Accused and Convicted Persons </w:t>
            </w:r>
          </w:p>
          <w:p w14:paraId="1BA29F68" w14:textId="77777777" w:rsidR="00627C63" w:rsidRPr="006C6C4F" w:rsidRDefault="00627C63" w:rsidP="004C4CE9">
            <w:pPr>
              <w:pStyle w:val="MMultilevel"/>
              <w:numPr>
                <w:ilvl w:val="1"/>
                <w:numId w:val="17"/>
              </w:numPr>
              <w:rPr>
                <w:rFonts w:ascii="Century Gothic" w:hAnsi="Century Gothic"/>
                <w:sz w:val="18"/>
                <w:szCs w:val="18"/>
                <w:lang w:val="en-GB"/>
              </w:rPr>
            </w:pPr>
            <w:r w:rsidRPr="006C6C4F">
              <w:rPr>
                <w:rFonts w:ascii="Century Gothic" w:hAnsi="Century Gothic"/>
                <w:sz w:val="18"/>
                <w:szCs w:val="18"/>
                <w:lang w:val="en-GB"/>
              </w:rPr>
              <w:t xml:space="preserve">Register of Application of Preventive Sanctions </w:t>
            </w:r>
          </w:p>
          <w:p w14:paraId="48CA273B" w14:textId="6D2A6AC5" w:rsidR="00627C63" w:rsidRPr="006C6C4F" w:rsidRDefault="00627C63" w:rsidP="004C4CE9">
            <w:pPr>
              <w:pStyle w:val="MMultilevel"/>
              <w:numPr>
                <w:ilvl w:val="1"/>
                <w:numId w:val="17"/>
              </w:numPr>
              <w:rPr>
                <w:rFonts w:ascii="Century Gothic" w:hAnsi="Century Gothic"/>
                <w:sz w:val="18"/>
                <w:szCs w:val="18"/>
                <w:lang w:val="en-GB"/>
              </w:rPr>
            </w:pPr>
            <w:r w:rsidRPr="006C6C4F">
              <w:rPr>
                <w:rFonts w:ascii="Century Gothic" w:hAnsi="Century Gothic"/>
                <w:sz w:val="18"/>
                <w:szCs w:val="18"/>
                <w:lang w:val="en-GB"/>
              </w:rPr>
              <w:t xml:space="preserve">Departmental Register of Wanted Persons, Unidentified </w:t>
            </w:r>
            <w:r w:rsidR="00AE78BA">
              <w:rPr>
                <w:rFonts w:ascii="Century Gothic" w:hAnsi="Century Gothic"/>
                <w:sz w:val="18"/>
                <w:szCs w:val="18"/>
                <w:lang w:val="en-GB"/>
              </w:rPr>
              <w:t>Persons</w:t>
            </w:r>
            <w:r w:rsidRPr="006C6C4F">
              <w:rPr>
                <w:rFonts w:ascii="Century Gothic" w:hAnsi="Century Gothic"/>
                <w:sz w:val="18"/>
                <w:szCs w:val="18"/>
                <w:lang w:val="en-GB"/>
              </w:rPr>
              <w:t xml:space="preserve"> and </w:t>
            </w:r>
            <w:r w:rsidR="00AE78BA">
              <w:rPr>
                <w:rFonts w:ascii="Century Gothic" w:hAnsi="Century Gothic"/>
                <w:sz w:val="18"/>
                <w:szCs w:val="18"/>
                <w:lang w:val="en-GB"/>
              </w:rPr>
              <w:t>Unidentified Vulnerable P</w:t>
            </w:r>
            <w:r w:rsidRPr="006C6C4F">
              <w:rPr>
                <w:rFonts w:ascii="Century Gothic" w:hAnsi="Century Gothic"/>
                <w:sz w:val="18"/>
                <w:szCs w:val="18"/>
                <w:lang w:val="en-GB"/>
              </w:rPr>
              <w:t xml:space="preserve">ersons </w:t>
            </w:r>
          </w:p>
          <w:p w14:paraId="0E4FE318" w14:textId="77777777" w:rsidR="00627C63" w:rsidRPr="006C6C4F" w:rsidRDefault="00627C63" w:rsidP="004C4CE9">
            <w:pPr>
              <w:pStyle w:val="MMultilevel"/>
              <w:numPr>
                <w:ilvl w:val="1"/>
                <w:numId w:val="17"/>
              </w:numPr>
              <w:rPr>
                <w:rFonts w:ascii="Century Gothic" w:hAnsi="Century Gothic"/>
                <w:sz w:val="18"/>
                <w:szCs w:val="18"/>
                <w:lang w:val="en-GB"/>
              </w:rPr>
            </w:pPr>
            <w:r w:rsidRPr="006C6C4F">
              <w:rPr>
                <w:rFonts w:ascii="Century Gothic" w:hAnsi="Century Gothic"/>
                <w:sz w:val="18"/>
                <w:szCs w:val="18"/>
                <w:lang w:val="en-GB"/>
              </w:rPr>
              <w:t xml:space="preserve">Database of Interpol General Secretariat </w:t>
            </w:r>
          </w:p>
          <w:p w14:paraId="29C7CF56" w14:textId="77777777" w:rsidR="00627C63" w:rsidRPr="006C6C4F" w:rsidRDefault="00627C63" w:rsidP="004C4CE9">
            <w:pPr>
              <w:pStyle w:val="MMultilevel"/>
              <w:numPr>
                <w:ilvl w:val="1"/>
                <w:numId w:val="17"/>
              </w:numPr>
              <w:rPr>
                <w:rFonts w:ascii="Century Gothic" w:hAnsi="Century Gothic"/>
                <w:sz w:val="18"/>
                <w:szCs w:val="18"/>
                <w:lang w:val="en-GB"/>
              </w:rPr>
            </w:pPr>
            <w:r w:rsidRPr="006C6C4F">
              <w:rPr>
                <w:rFonts w:ascii="Century Gothic" w:hAnsi="Century Gothic"/>
                <w:sz w:val="18"/>
                <w:szCs w:val="18"/>
                <w:lang w:val="en-GB"/>
              </w:rPr>
              <w:t xml:space="preserve">The information system of the State Social Insurance Fund Board </w:t>
            </w:r>
          </w:p>
          <w:p w14:paraId="7169D1E2" w14:textId="77777777" w:rsidR="00627C63" w:rsidRPr="006C6C4F" w:rsidRDefault="00627C63" w:rsidP="004C4CE9">
            <w:pPr>
              <w:pStyle w:val="MMultilevel"/>
              <w:numPr>
                <w:ilvl w:val="1"/>
                <w:numId w:val="17"/>
              </w:numPr>
              <w:rPr>
                <w:rFonts w:ascii="Century Gothic" w:hAnsi="Century Gothic"/>
                <w:sz w:val="18"/>
                <w:szCs w:val="18"/>
                <w:lang w:val="en-GB"/>
              </w:rPr>
            </w:pPr>
            <w:r w:rsidRPr="006C6C4F">
              <w:rPr>
                <w:rFonts w:ascii="Century Gothic" w:hAnsi="Century Gothic"/>
                <w:sz w:val="18"/>
                <w:szCs w:val="18"/>
                <w:lang w:val="en-GB"/>
              </w:rPr>
              <w:t>The State Tax Inspectorate</w:t>
            </w:r>
          </w:p>
          <w:p w14:paraId="03A5BB6C" w14:textId="77777777" w:rsidR="00627C63" w:rsidRPr="006C6C4F" w:rsidRDefault="00627C63" w:rsidP="004C4CE9">
            <w:pPr>
              <w:pStyle w:val="MMultilevel"/>
              <w:numPr>
                <w:ilvl w:val="1"/>
                <w:numId w:val="17"/>
              </w:numPr>
              <w:rPr>
                <w:rFonts w:ascii="Century Gothic" w:hAnsi="Century Gothic"/>
                <w:sz w:val="18"/>
                <w:szCs w:val="18"/>
                <w:lang w:val="en-GB"/>
              </w:rPr>
            </w:pPr>
            <w:r w:rsidRPr="006C6C4F">
              <w:rPr>
                <w:rFonts w:ascii="Century Gothic" w:hAnsi="Century Gothic"/>
                <w:sz w:val="18"/>
                <w:szCs w:val="18"/>
                <w:lang w:val="en-GB"/>
              </w:rPr>
              <w:t xml:space="preserve">Kaunas Territorial Customs Office </w:t>
            </w:r>
          </w:p>
          <w:p w14:paraId="0813DC81" w14:textId="77777777" w:rsidR="00627C63" w:rsidRPr="006C6C4F" w:rsidRDefault="00627C63" w:rsidP="004C4CE9">
            <w:pPr>
              <w:pStyle w:val="MMultilevel"/>
              <w:numPr>
                <w:ilvl w:val="1"/>
                <w:numId w:val="17"/>
              </w:numPr>
              <w:rPr>
                <w:rFonts w:ascii="Century Gothic" w:hAnsi="Century Gothic"/>
                <w:sz w:val="18"/>
                <w:szCs w:val="18"/>
                <w:lang w:val="en-GB"/>
              </w:rPr>
            </w:pPr>
            <w:r w:rsidRPr="006C6C4F">
              <w:rPr>
                <w:rFonts w:ascii="Century Gothic" w:hAnsi="Century Gothic"/>
                <w:sz w:val="18"/>
                <w:szCs w:val="18"/>
                <w:lang w:val="en-GB"/>
              </w:rPr>
              <w:t>The State Border Guard Service</w:t>
            </w:r>
          </w:p>
          <w:p w14:paraId="7CFEF22A" w14:textId="77777777" w:rsidR="00627C63" w:rsidRPr="006C6C4F" w:rsidRDefault="00627C63" w:rsidP="004C4CE9">
            <w:pPr>
              <w:pStyle w:val="MMultilevel"/>
              <w:numPr>
                <w:ilvl w:val="1"/>
                <w:numId w:val="17"/>
              </w:numPr>
              <w:rPr>
                <w:rFonts w:ascii="Century Gothic" w:hAnsi="Century Gothic"/>
                <w:sz w:val="18"/>
                <w:szCs w:val="18"/>
                <w:lang w:val="en-GB"/>
              </w:rPr>
            </w:pPr>
            <w:r w:rsidRPr="006C6C4F">
              <w:rPr>
                <w:rFonts w:ascii="Century Gothic" w:hAnsi="Century Gothic"/>
                <w:sz w:val="18"/>
                <w:szCs w:val="18"/>
                <w:lang w:val="en-GB"/>
              </w:rPr>
              <w:t xml:space="preserve">State Security Department </w:t>
            </w:r>
          </w:p>
          <w:p w14:paraId="5B9D2307" w14:textId="77777777" w:rsidR="00627C63" w:rsidRPr="006C6C4F" w:rsidRDefault="00627C63" w:rsidP="004C4CE9">
            <w:pPr>
              <w:pStyle w:val="ListParagraph"/>
              <w:numPr>
                <w:ilvl w:val="1"/>
                <w:numId w:val="17"/>
              </w:numPr>
              <w:rPr>
                <w:rFonts w:ascii="Century Gothic" w:hAnsi="Century Gothic"/>
                <w:bCs/>
                <w:sz w:val="18"/>
                <w:szCs w:val="18"/>
              </w:rPr>
            </w:pPr>
            <w:r w:rsidRPr="006C6C4F">
              <w:rPr>
                <w:rFonts w:ascii="Century Gothic" w:hAnsi="Century Gothic"/>
                <w:sz w:val="18"/>
                <w:szCs w:val="18"/>
              </w:rPr>
              <w:t>Police Department</w:t>
            </w:r>
          </w:p>
          <w:p w14:paraId="3655A16E" w14:textId="77777777" w:rsidR="00627C63" w:rsidRPr="006C6C4F" w:rsidRDefault="00627C63" w:rsidP="00AE78BA">
            <w:pPr>
              <w:jc w:val="both"/>
              <w:rPr>
                <w:rFonts w:ascii="Century Gothic" w:hAnsi="Century Gothic"/>
                <w:bCs/>
                <w:sz w:val="18"/>
                <w:szCs w:val="18"/>
              </w:rPr>
            </w:pPr>
          </w:p>
        </w:tc>
        <w:tc>
          <w:tcPr>
            <w:tcW w:w="1113" w:type="pct"/>
            <w:shd w:val="clear" w:color="auto" w:fill="D9D9D9" w:themeFill="background1" w:themeFillShade="D9"/>
          </w:tcPr>
          <w:p w14:paraId="0E1EC34B" w14:textId="0F4F09B8" w:rsidR="00627C63" w:rsidRPr="006C6C4F" w:rsidRDefault="00627C63" w:rsidP="004C4CE9">
            <w:pPr>
              <w:pStyle w:val="ListParagraph"/>
              <w:numPr>
                <w:ilvl w:val="0"/>
                <w:numId w:val="18"/>
              </w:numPr>
              <w:rPr>
                <w:rFonts w:ascii="Century Gothic" w:hAnsi="Century Gothic"/>
                <w:bCs/>
                <w:sz w:val="18"/>
                <w:szCs w:val="18"/>
              </w:rPr>
            </w:pPr>
            <w:r w:rsidRPr="006C6C4F">
              <w:rPr>
                <w:rFonts w:ascii="Century Gothic" w:hAnsi="Century Gothic"/>
                <w:b/>
                <w:bCs/>
                <w:sz w:val="18"/>
                <w:szCs w:val="18"/>
              </w:rPr>
              <w:lastRenderedPageBreak/>
              <w:t>Article 36.3 LLSA</w:t>
            </w:r>
            <w:r w:rsidRPr="006C6C4F">
              <w:rPr>
                <w:rFonts w:ascii="Century Gothic" w:hAnsi="Century Gothic"/>
                <w:bCs/>
                <w:sz w:val="18"/>
                <w:szCs w:val="18"/>
              </w:rPr>
              <w:t xml:space="preserve"> prescribes that certain subjects must notify the migration authorities if they become aware of the circumstances that may impact the </w:t>
            </w:r>
            <w:r w:rsidRPr="006C6C4F">
              <w:rPr>
                <w:rFonts w:ascii="Century Gothic" w:hAnsi="Century Gothic"/>
                <w:bCs/>
                <w:sz w:val="18"/>
                <w:szCs w:val="18"/>
              </w:rPr>
              <w:lastRenderedPageBreak/>
              <w:t>foreigner’s residence status. They include authorities monitoring economic activities, the police and other authorities that apply administrative penalties, the Prison Department.</w:t>
            </w:r>
          </w:p>
          <w:p w14:paraId="4D36CEEA" w14:textId="4455AF4F" w:rsidR="00627C63" w:rsidRPr="006C6C4F" w:rsidRDefault="00627C63" w:rsidP="004C4CE9">
            <w:pPr>
              <w:pStyle w:val="ListParagraph"/>
              <w:numPr>
                <w:ilvl w:val="0"/>
                <w:numId w:val="18"/>
              </w:numPr>
              <w:rPr>
                <w:rFonts w:ascii="Century Gothic" w:hAnsi="Century Gothic"/>
                <w:bCs/>
                <w:sz w:val="18"/>
                <w:szCs w:val="18"/>
              </w:rPr>
            </w:pPr>
            <w:r w:rsidRPr="006C6C4F">
              <w:rPr>
                <w:rFonts w:ascii="Century Gothic" w:hAnsi="Century Gothic"/>
                <w:bCs/>
                <w:sz w:val="18"/>
                <w:szCs w:val="18"/>
              </w:rPr>
              <w:t>In 2017, there was a</w:t>
            </w:r>
            <w:r w:rsidR="00EC3A69">
              <w:rPr>
                <w:rFonts w:ascii="Century Gothic" w:hAnsi="Century Gothic"/>
                <w:bCs/>
                <w:sz w:val="18"/>
                <w:szCs w:val="18"/>
              </w:rPr>
              <w:t>n important</w:t>
            </w:r>
            <w:r w:rsidR="00AE78BA">
              <w:rPr>
                <w:rFonts w:ascii="Century Gothic" w:hAnsi="Century Gothic"/>
                <w:bCs/>
                <w:sz w:val="18"/>
                <w:szCs w:val="18"/>
              </w:rPr>
              <w:t xml:space="preserve"> </w:t>
            </w:r>
            <w:r w:rsidRPr="006C6C4F">
              <w:rPr>
                <w:rFonts w:ascii="Century Gothic" w:hAnsi="Century Gothic"/>
                <w:bCs/>
                <w:sz w:val="18"/>
                <w:szCs w:val="18"/>
              </w:rPr>
              <w:t>case w</w:t>
            </w:r>
            <w:r w:rsidR="00303398" w:rsidRPr="006C6C4F">
              <w:rPr>
                <w:rFonts w:ascii="Century Gothic" w:hAnsi="Century Gothic"/>
                <w:bCs/>
                <w:sz w:val="18"/>
                <w:szCs w:val="18"/>
              </w:rPr>
              <w:t>here 18 investors</w:t>
            </w:r>
            <w:r w:rsidR="00C1083F" w:rsidRPr="006C6C4F">
              <w:rPr>
                <w:rFonts w:ascii="Century Gothic" w:hAnsi="Century Gothic"/>
                <w:bCs/>
                <w:sz w:val="18"/>
                <w:szCs w:val="18"/>
              </w:rPr>
              <w:t xml:space="preserve"> </w:t>
            </w:r>
            <w:r w:rsidR="00303398" w:rsidRPr="006C6C4F">
              <w:rPr>
                <w:rFonts w:ascii="Century Gothic" w:hAnsi="Century Gothic"/>
                <w:bCs/>
                <w:sz w:val="18"/>
                <w:szCs w:val="18"/>
              </w:rPr>
              <w:t xml:space="preserve">were found to have </w:t>
            </w:r>
            <w:r w:rsidRPr="006C6C4F">
              <w:rPr>
                <w:rFonts w:ascii="Century Gothic" w:hAnsi="Century Gothic"/>
                <w:bCs/>
                <w:sz w:val="18"/>
                <w:szCs w:val="18"/>
              </w:rPr>
              <w:t>intended to work in 2 fictitious companies; this was uncovered by the Migration Department at the application stage.</w:t>
            </w:r>
            <w:r w:rsidRPr="004C4CE9">
              <w:rPr>
                <w:rStyle w:val="FootnoteReference"/>
              </w:rPr>
              <w:footnoteReference w:id="197"/>
            </w:r>
          </w:p>
          <w:p w14:paraId="5F77F343" w14:textId="77777777" w:rsidR="00DC17E6" w:rsidRDefault="00DC17E6" w:rsidP="004C4CE9">
            <w:pPr>
              <w:pStyle w:val="ListParagraph"/>
              <w:numPr>
                <w:ilvl w:val="0"/>
                <w:numId w:val="18"/>
              </w:numPr>
              <w:rPr>
                <w:rFonts w:ascii="Century Gothic" w:hAnsi="Century Gothic"/>
                <w:bCs/>
                <w:sz w:val="18"/>
                <w:szCs w:val="18"/>
              </w:rPr>
            </w:pPr>
            <w:r w:rsidRPr="006C6C4F">
              <w:rPr>
                <w:rFonts w:ascii="Century Gothic" w:hAnsi="Century Gothic"/>
                <w:bCs/>
                <w:sz w:val="18"/>
                <w:szCs w:val="18"/>
              </w:rPr>
              <w:t>The fictitious company checks can be also carried out later</w:t>
            </w:r>
            <w:r w:rsidR="002860A4" w:rsidRPr="006C6C4F">
              <w:rPr>
                <w:rFonts w:ascii="Century Gothic" w:hAnsi="Century Gothic"/>
                <w:bCs/>
                <w:sz w:val="18"/>
                <w:szCs w:val="18"/>
              </w:rPr>
              <w:t xml:space="preserve"> by the Migration Department</w:t>
            </w:r>
            <w:r w:rsidRPr="006C6C4F">
              <w:rPr>
                <w:rFonts w:ascii="Century Gothic" w:hAnsi="Century Gothic"/>
                <w:bCs/>
                <w:sz w:val="18"/>
                <w:szCs w:val="18"/>
              </w:rPr>
              <w:t>, after a TRP had been granted.</w:t>
            </w:r>
          </w:p>
          <w:p w14:paraId="4AACC977" w14:textId="1A60C3A3" w:rsidR="00334584" w:rsidRPr="006C6C4F" w:rsidRDefault="00334584" w:rsidP="004C4CE9">
            <w:pPr>
              <w:pStyle w:val="ListParagraph"/>
              <w:numPr>
                <w:ilvl w:val="0"/>
                <w:numId w:val="18"/>
              </w:numPr>
              <w:rPr>
                <w:rFonts w:ascii="Century Gothic" w:hAnsi="Century Gothic"/>
                <w:bCs/>
                <w:sz w:val="18"/>
                <w:szCs w:val="18"/>
              </w:rPr>
            </w:pPr>
            <w:r>
              <w:rPr>
                <w:rFonts w:ascii="Century Gothic" w:hAnsi="Century Gothic"/>
                <w:bCs/>
                <w:sz w:val="18"/>
                <w:szCs w:val="18"/>
              </w:rPr>
              <w:t xml:space="preserve">No further information on cases of misuse </w:t>
            </w:r>
            <w:r w:rsidRPr="003A1945">
              <w:rPr>
                <w:rFonts w:ascii="Century Gothic" w:hAnsi="Century Gothic"/>
                <w:bCs/>
                <w:sz w:val="18"/>
                <w:szCs w:val="18"/>
              </w:rPr>
              <w:t xml:space="preserve">associated with corruption and fraud has been </w:t>
            </w:r>
            <w:r>
              <w:rPr>
                <w:rFonts w:ascii="Century Gothic" w:hAnsi="Century Gothic"/>
                <w:bCs/>
                <w:sz w:val="18"/>
                <w:szCs w:val="18"/>
              </w:rPr>
              <w:t>found.</w:t>
            </w:r>
            <w:r w:rsidR="008B50CF" w:rsidRPr="004C4CE9">
              <w:rPr>
                <w:rStyle w:val="FootnoteReference"/>
              </w:rPr>
              <w:footnoteReference w:id="198"/>
            </w:r>
          </w:p>
        </w:tc>
      </w:tr>
      <w:bookmarkEnd w:id="50"/>
      <w:bookmarkEnd w:id="51"/>
    </w:tbl>
    <w:p w14:paraId="7314942B" w14:textId="77777777" w:rsidR="008136FB" w:rsidRPr="006C6C4F" w:rsidRDefault="008136FB" w:rsidP="00B311A7">
      <w:pPr>
        <w:rPr>
          <w:rFonts w:ascii="Century Gothic" w:hAnsi="Century Gothic"/>
        </w:rPr>
        <w:sectPr w:rsidR="008136FB" w:rsidRPr="006C6C4F" w:rsidSect="006A49F9">
          <w:footerReference w:type="default" r:id="rId25"/>
          <w:pgSz w:w="16838" w:h="11906" w:orient="landscape"/>
          <w:pgMar w:top="1440" w:right="1440" w:bottom="1440" w:left="1440" w:header="708" w:footer="708" w:gutter="0"/>
          <w:cols w:space="708"/>
          <w:docGrid w:linePitch="360"/>
        </w:sectPr>
      </w:pPr>
    </w:p>
    <w:p w14:paraId="1D48BD35" w14:textId="77777777" w:rsidR="00B311A7" w:rsidRPr="006C6C4F" w:rsidRDefault="00B311A7" w:rsidP="00613C2F">
      <w:pPr>
        <w:pStyle w:val="MH1nonumb"/>
        <w:numPr>
          <w:ilvl w:val="0"/>
          <w:numId w:val="10"/>
        </w:numPr>
        <w:ind w:left="426" w:hanging="284"/>
      </w:pPr>
      <w:bookmarkStart w:id="52" w:name="_Toc496025539"/>
      <w:bookmarkStart w:id="53" w:name="_Toc522130162"/>
      <w:r w:rsidRPr="006C6C4F">
        <w:lastRenderedPageBreak/>
        <w:t>RIGHTS GRANTED BY THE PERMITS</w:t>
      </w:r>
      <w:bookmarkEnd w:id="52"/>
      <w:bookmarkEnd w:id="53"/>
    </w:p>
    <w:p w14:paraId="0A8F5AD8" w14:textId="77777777" w:rsidR="00B311A7" w:rsidRPr="006C6C4F" w:rsidRDefault="00B311A7" w:rsidP="00613C2F">
      <w:pPr>
        <w:pStyle w:val="MH1"/>
        <w:pageBreakBefore w:val="0"/>
        <w:numPr>
          <w:ilvl w:val="0"/>
          <w:numId w:val="11"/>
        </w:numPr>
        <w:ind w:left="431" w:hanging="431"/>
      </w:pPr>
      <w:bookmarkStart w:id="54" w:name="_Toc522130163"/>
      <w:r w:rsidRPr="006C6C4F">
        <w:t>Rights granted to investors</w:t>
      </w:r>
      <w:bookmarkEnd w:id="54"/>
    </w:p>
    <w:p w14:paraId="11FE8167" w14:textId="342E339B" w:rsidR="00707475" w:rsidRDefault="00707475" w:rsidP="00F35214">
      <w:pPr>
        <w:pStyle w:val="MBT"/>
        <w:rPr>
          <w:lang w:val="en-GB"/>
        </w:rPr>
      </w:pPr>
      <w:r>
        <w:rPr>
          <w:lang w:val="en-GB"/>
        </w:rPr>
        <w:t xml:space="preserve">Drawing on Article 29 of the </w:t>
      </w:r>
      <w:r w:rsidR="00D506B8">
        <w:rPr>
          <w:lang w:val="en-GB"/>
        </w:rPr>
        <w:t>Lithuanian</w:t>
      </w:r>
      <w:r>
        <w:rPr>
          <w:lang w:val="en-GB"/>
        </w:rPr>
        <w:t xml:space="preserve"> Constitution, </w:t>
      </w:r>
      <w:r w:rsidR="00F35214">
        <w:rPr>
          <w:lang w:val="en-GB"/>
        </w:rPr>
        <w:t>Article 3</w:t>
      </w:r>
      <w:r>
        <w:rPr>
          <w:lang w:val="en-GB"/>
        </w:rPr>
        <w:t>.2 LLSA provides:</w:t>
      </w:r>
    </w:p>
    <w:p w14:paraId="049BC3D2" w14:textId="77777777" w:rsidR="00707475" w:rsidRDefault="00707475" w:rsidP="00F35214">
      <w:pPr>
        <w:pStyle w:val="MBT"/>
        <w:rPr>
          <w:lang w:val="en-GB"/>
        </w:rPr>
      </w:pPr>
    </w:p>
    <w:p w14:paraId="017B2C21" w14:textId="006D8709" w:rsidR="00F35214" w:rsidRPr="003A470B" w:rsidRDefault="00707475" w:rsidP="003A470B">
      <w:pPr>
        <w:autoSpaceDE w:val="0"/>
        <w:autoSpaceDN w:val="0"/>
        <w:adjustRightInd w:val="0"/>
        <w:ind w:left="567" w:right="926"/>
        <w:jc w:val="both"/>
        <w:rPr>
          <w:rFonts w:eastAsia="MinionPro-Regular"/>
          <w:sz w:val="20"/>
          <w:szCs w:val="20"/>
          <w:lang w:eastAsia="en-GB"/>
        </w:rPr>
      </w:pPr>
      <w:r w:rsidRPr="003A470B">
        <w:rPr>
          <w:rFonts w:eastAsia="MinionPro-Regular"/>
          <w:sz w:val="20"/>
          <w:szCs w:val="20"/>
          <w:lang w:eastAsia="en-GB"/>
        </w:rPr>
        <w:t>Foreigners in the Republic of Lithuania are equal</w:t>
      </w:r>
      <w:r w:rsidR="00F35214" w:rsidRPr="003A470B">
        <w:rPr>
          <w:rFonts w:eastAsia="MinionPro-Regular"/>
          <w:sz w:val="20"/>
          <w:szCs w:val="20"/>
          <w:lang w:eastAsia="en-GB"/>
        </w:rPr>
        <w:t xml:space="preserve"> before </w:t>
      </w:r>
      <w:r w:rsidRPr="003A470B">
        <w:rPr>
          <w:rFonts w:eastAsia="MinionPro-Regular"/>
          <w:sz w:val="20"/>
          <w:szCs w:val="20"/>
          <w:lang w:eastAsia="en-GB"/>
        </w:rPr>
        <w:t>laws regardless of their</w:t>
      </w:r>
      <w:r w:rsidR="00F35214" w:rsidRPr="003A470B">
        <w:rPr>
          <w:rFonts w:eastAsia="MinionPro-Regular"/>
          <w:sz w:val="20"/>
          <w:szCs w:val="20"/>
          <w:lang w:eastAsia="en-GB"/>
        </w:rPr>
        <w:t xml:space="preserve"> race, co</w:t>
      </w:r>
      <w:r w:rsidRPr="003A470B">
        <w:rPr>
          <w:rFonts w:eastAsia="MinionPro-Regular"/>
          <w:sz w:val="20"/>
          <w:szCs w:val="20"/>
          <w:lang w:eastAsia="en-GB"/>
        </w:rPr>
        <w:t xml:space="preserve">lour, sex, language, religion, political or other convictions, national or </w:t>
      </w:r>
      <w:r w:rsidR="00F35214" w:rsidRPr="003A470B">
        <w:rPr>
          <w:rFonts w:eastAsia="MinionPro-Regular"/>
          <w:sz w:val="20"/>
          <w:szCs w:val="20"/>
          <w:lang w:eastAsia="en-GB"/>
        </w:rPr>
        <w:t>s</w:t>
      </w:r>
      <w:r w:rsidRPr="003A470B">
        <w:rPr>
          <w:rFonts w:eastAsia="MinionPro-Regular"/>
          <w:sz w:val="20"/>
          <w:szCs w:val="20"/>
          <w:lang w:eastAsia="en-GB"/>
        </w:rPr>
        <w:t xml:space="preserve">ocial </w:t>
      </w:r>
      <w:r w:rsidR="00F35214" w:rsidRPr="003A470B">
        <w:rPr>
          <w:rFonts w:eastAsia="MinionPro-Regular"/>
          <w:sz w:val="20"/>
          <w:szCs w:val="20"/>
          <w:lang w:eastAsia="en-GB"/>
        </w:rPr>
        <w:t>origin</w:t>
      </w:r>
      <w:r w:rsidRPr="003A470B">
        <w:rPr>
          <w:rFonts w:eastAsia="MinionPro-Regular"/>
          <w:sz w:val="20"/>
          <w:szCs w:val="20"/>
          <w:lang w:eastAsia="en-GB"/>
        </w:rPr>
        <w:t>, p</w:t>
      </w:r>
      <w:r w:rsidR="00F35214" w:rsidRPr="003A470B">
        <w:rPr>
          <w:rFonts w:eastAsia="MinionPro-Regular"/>
          <w:sz w:val="20"/>
          <w:szCs w:val="20"/>
          <w:lang w:eastAsia="en-GB"/>
        </w:rPr>
        <w:t>roperty, birth or any others status.</w:t>
      </w:r>
    </w:p>
    <w:p w14:paraId="28DC1731" w14:textId="77777777" w:rsidR="00F35214" w:rsidRDefault="00F35214" w:rsidP="004E2599">
      <w:pPr>
        <w:pStyle w:val="MBT"/>
        <w:rPr>
          <w:lang w:val="en-GB"/>
        </w:rPr>
      </w:pPr>
    </w:p>
    <w:p w14:paraId="6D49F6D3" w14:textId="2A363044" w:rsidR="00D506B8" w:rsidRDefault="00722601" w:rsidP="004E2599">
      <w:pPr>
        <w:pStyle w:val="MBT"/>
        <w:rPr>
          <w:lang w:val="en-GB"/>
        </w:rPr>
      </w:pPr>
      <w:r w:rsidRPr="00722601">
        <w:rPr>
          <w:lang w:val="en-GB"/>
        </w:rPr>
        <w:t>Under this premise, foreign investors would be entitled to all constitutional fundamental rights (healthcare, education, association, equality before the law and work).</w:t>
      </w:r>
      <w:r>
        <w:rPr>
          <w:lang w:val="en-GB"/>
        </w:rPr>
        <w:t xml:space="preserve"> </w:t>
      </w:r>
      <w:r w:rsidR="00653474">
        <w:rPr>
          <w:lang w:val="en-GB"/>
        </w:rPr>
        <w:t>S</w:t>
      </w:r>
      <w:r w:rsidR="00AB4713">
        <w:rPr>
          <w:lang w:val="en-GB"/>
        </w:rPr>
        <w:t>takeholder interviews and literature indicate that t</w:t>
      </w:r>
      <w:r w:rsidR="00F9296A" w:rsidRPr="006C6C4F">
        <w:rPr>
          <w:lang w:val="en-GB"/>
        </w:rPr>
        <w:t xml:space="preserve">here are no other additional rights granted to foreign investors: they are treated in the same way as other foreign nationals </w:t>
      </w:r>
      <w:r w:rsidR="00D64141">
        <w:rPr>
          <w:lang w:val="en-GB"/>
        </w:rPr>
        <w:t>who</w:t>
      </w:r>
      <w:r w:rsidR="00D64141" w:rsidRPr="006C6C4F">
        <w:rPr>
          <w:lang w:val="en-GB"/>
        </w:rPr>
        <w:t xml:space="preserve"> </w:t>
      </w:r>
      <w:r w:rsidR="00F9296A" w:rsidRPr="006C6C4F">
        <w:rPr>
          <w:lang w:val="en-GB"/>
        </w:rPr>
        <w:t>possess a TRP</w:t>
      </w:r>
      <w:r w:rsidR="004E62E2">
        <w:rPr>
          <w:lang w:val="en-GB"/>
        </w:rPr>
        <w:t xml:space="preserve"> and have the same</w:t>
      </w:r>
      <w:r w:rsidR="00F9296A" w:rsidRPr="006C6C4F">
        <w:rPr>
          <w:lang w:val="en-GB"/>
        </w:rPr>
        <w:t xml:space="preserve"> rights</w:t>
      </w:r>
      <w:r w:rsidR="00D506B8">
        <w:rPr>
          <w:lang w:val="en-GB"/>
        </w:rPr>
        <w:t>.</w:t>
      </w:r>
      <w:r w:rsidR="00F9296A" w:rsidRPr="00A36FFC">
        <w:rPr>
          <w:rStyle w:val="FootnoteReference"/>
          <w:rFonts w:eastAsia="MinionPro-Regular"/>
        </w:rPr>
        <w:footnoteReference w:id="199"/>
      </w:r>
      <w:r w:rsidR="00D64141">
        <w:rPr>
          <w:lang w:val="en-GB"/>
        </w:rPr>
        <w:t xml:space="preserve"> </w:t>
      </w:r>
      <w:r w:rsidR="00B303F7">
        <w:rPr>
          <w:lang w:val="en-GB"/>
        </w:rPr>
        <w:t>For example</w:t>
      </w:r>
      <w:r w:rsidR="00D506B8">
        <w:rPr>
          <w:lang w:val="en-GB"/>
        </w:rPr>
        <w:t>:</w:t>
      </w:r>
    </w:p>
    <w:p w14:paraId="28D9A885" w14:textId="77777777" w:rsidR="00D506B8" w:rsidRDefault="00D506B8" w:rsidP="004E2599">
      <w:pPr>
        <w:pStyle w:val="MBT"/>
        <w:rPr>
          <w:lang w:val="en-GB"/>
        </w:rPr>
      </w:pPr>
    </w:p>
    <w:p w14:paraId="6825555B" w14:textId="4548E3CF" w:rsidR="004E2599" w:rsidRPr="00B303F7" w:rsidRDefault="00D506B8" w:rsidP="00CD61D0">
      <w:pPr>
        <w:pStyle w:val="MMultileveltable"/>
        <w:numPr>
          <w:ilvl w:val="1"/>
          <w:numId w:val="5"/>
        </w:numPr>
        <w:rPr>
          <w:lang w:val="en-GB"/>
        </w:rPr>
      </w:pPr>
      <w:r>
        <w:rPr>
          <w:lang w:val="en-GB"/>
        </w:rPr>
        <w:t>T</w:t>
      </w:r>
      <w:r w:rsidR="00643D6D" w:rsidRPr="00AE78BA">
        <w:rPr>
          <w:lang w:val="en-GB"/>
        </w:rPr>
        <w:t>he right to work</w:t>
      </w:r>
      <w:r w:rsidR="004A423B" w:rsidRPr="00AE78BA">
        <w:rPr>
          <w:lang w:val="en-GB"/>
        </w:rPr>
        <w:t>.</w:t>
      </w:r>
      <w:r w:rsidR="001A2820">
        <w:rPr>
          <w:lang w:val="en-GB"/>
        </w:rPr>
        <w:t xml:space="preserve"> </w:t>
      </w:r>
      <w:r w:rsidR="001F65FE">
        <w:rPr>
          <w:lang w:val="en-GB"/>
        </w:rPr>
        <w:t xml:space="preserve">For foreign </w:t>
      </w:r>
      <w:r w:rsidR="00AB4713">
        <w:rPr>
          <w:lang w:val="en-GB"/>
        </w:rPr>
        <w:t>investors</w:t>
      </w:r>
      <w:r w:rsidR="001A2820">
        <w:rPr>
          <w:lang w:val="en-GB"/>
        </w:rPr>
        <w:t xml:space="preserve">, the right to work is mandated by </w:t>
      </w:r>
      <w:r w:rsidR="004E2599" w:rsidRPr="006C6C4F">
        <w:t>Article</w:t>
      </w:r>
      <w:r w:rsidR="004E2599">
        <w:t>s</w:t>
      </w:r>
      <w:r w:rsidR="004E2599" w:rsidRPr="006C6C4F">
        <w:t xml:space="preserve"> 45.1(1) </w:t>
      </w:r>
      <w:r w:rsidR="004E2599">
        <w:t xml:space="preserve">and </w:t>
      </w:r>
      <w:r w:rsidR="004E2599" w:rsidRPr="006C6C4F">
        <w:t>45.1(2</w:t>
      </w:r>
      <w:r w:rsidR="004E2599" w:rsidRPr="004E2599">
        <w:rPr>
          <w:vertAlign w:val="superscript"/>
        </w:rPr>
        <w:t>1</w:t>
      </w:r>
      <w:r w:rsidR="004E2599" w:rsidRPr="006C6C4F">
        <w:t xml:space="preserve">) </w:t>
      </w:r>
      <w:r w:rsidR="001A2820">
        <w:rPr>
          <w:lang w:val="en-GB"/>
        </w:rPr>
        <w:t xml:space="preserve">LSSA, given that the investors are required to be ‘participants’ in the </w:t>
      </w:r>
      <w:r w:rsidR="007A7975">
        <w:rPr>
          <w:lang w:val="en-GB"/>
        </w:rPr>
        <w:t>company</w:t>
      </w:r>
      <w:r w:rsidR="001A2820">
        <w:rPr>
          <w:lang w:val="en-GB"/>
        </w:rPr>
        <w:t>.</w:t>
      </w:r>
      <w:r w:rsidR="004A423B" w:rsidRPr="00AE78BA">
        <w:rPr>
          <w:lang w:val="en-GB"/>
        </w:rPr>
        <w:t xml:space="preserve"> </w:t>
      </w:r>
      <w:bookmarkStart w:id="55" w:name="_GoBack"/>
      <w:bookmarkEnd w:id="55"/>
    </w:p>
    <w:p w14:paraId="4F3081CE" w14:textId="77E290D6" w:rsidR="00AB4713" w:rsidRPr="00AB4713" w:rsidRDefault="00D04266" w:rsidP="00D8309D">
      <w:pPr>
        <w:pStyle w:val="MMultileveltable"/>
        <w:numPr>
          <w:ilvl w:val="1"/>
          <w:numId w:val="5"/>
        </w:numPr>
        <w:rPr>
          <w:lang w:val="en-GB"/>
        </w:rPr>
      </w:pPr>
      <w:r>
        <w:rPr>
          <w:lang w:val="en-GB"/>
        </w:rPr>
        <w:t xml:space="preserve">The right to health care. </w:t>
      </w:r>
      <w:r w:rsidR="00466261">
        <w:rPr>
          <w:lang w:val="en-GB"/>
        </w:rPr>
        <w:t>Those TRP holders who work are entitled to receive free state health care</w:t>
      </w:r>
      <w:r w:rsidR="00466261">
        <w:t>,</w:t>
      </w:r>
      <w:r w:rsidR="00466261" w:rsidRPr="00A36FFC">
        <w:rPr>
          <w:rStyle w:val="FootnoteReference"/>
        </w:rPr>
        <w:footnoteReference w:id="200"/>
      </w:r>
      <w:r w:rsidR="00466261">
        <w:t xml:space="preserve"> which is conditional on them or their employer </w:t>
      </w:r>
      <w:r w:rsidR="00466261" w:rsidRPr="00A46A1E">
        <w:t>pay</w:t>
      </w:r>
      <w:r w:rsidR="00466261">
        <w:t>ing</w:t>
      </w:r>
      <w:r w:rsidR="00466261" w:rsidRPr="00A46A1E">
        <w:t xml:space="preserve"> compulsory health insurance contributions</w:t>
      </w:r>
      <w:r w:rsidR="00466261">
        <w:t xml:space="preserve">. </w:t>
      </w:r>
      <w:r w:rsidR="00C020C3">
        <w:t xml:space="preserve">In order to </w:t>
      </w:r>
      <w:r w:rsidR="0099018E">
        <w:t>obtain</w:t>
      </w:r>
      <w:r w:rsidR="00C020C3">
        <w:t xml:space="preserve"> health care, they would need to present their TRP permit at the hospital or at another state health care provider.</w:t>
      </w:r>
      <w:r w:rsidR="002E4701" w:rsidRPr="00A36FFC">
        <w:rPr>
          <w:rStyle w:val="FootnoteReference"/>
        </w:rPr>
        <w:footnoteReference w:id="201"/>
      </w:r>
    </w:p>
    <w:p w14:paraId="5A40F903" w14:textId="7E9A4A7F" w:rsidR="00466261" w:rsidRPr="00A36FFC" w:rsidRDefault="00AB4713" w:rsidP="00D8309D">
      <w:pPr>
        <w:pStyle w:val="MMultileveltable"/>
        <w:numPr>
          <w:ilvl w:val="1"/>
          <w:numId w:val="5"/>
        </w:numPr>
        <w:rPr>
          <w:lang w:val="en-GB"/>
        </w:rPr>
      </w:pPr>
      <w:r>
        <w:t>The right to welfare support. T</w:t>
      </w:r>
      <w:r w:rsidR="00466261">
        <w:t xml:space="preserve">emporary </w:t>
      </w:r>
      <w:r w:rsidR="00466261" w:rsidRPr="004C4CE9">
        <w:rPr>
          <w:lang w:val="en-GB"/>
        </w:rPr>
        <w:t>residents</w:t>
      </w:r>
      <w:r w:rsidR="00967488">
        <w:rPr>
          <w:lang w:val="en-GB"/>
        </w:rPr>
        <w:t>’</w:t>
      </w:r>
      <w:r w:rsidR="00466261" w:rsidRPr="004C4CE9">
        <w:rPr>
          <w:lang w:val="en-GB"/>
        </w:rPr>
        <w:t xml:space="preserve"> access</w:t>
      </w:r>
      <w:r w:rsidR="00466261">
        <w:t xml:space="preserve"> to the non-contributory welfare rights is very limited or non-existent.</w:t>
      </w:r>
      <w:r w:rsidR="00466261" w:rsidRPr="00A36FFC">
        <w:rPr>
          <w:rStyle w:val="FootnoteReference"/>
        </w:rPr>
        <w:footnoteReference w:id="202"/>
      </w:r>
    </w:p>
    <w:p w14:paraId="709C7B6C" w14:textId="05617901" w:rsidR="00861857" w:rsidRDefault="00861857" w:rsidP="00D8309D">
      <w:pPr>
        <w:pStyle w:val="MMultileveltable"/>
        <w:numPr>
          <w:ilvl w:val="1"/>
          <w:numId w:val="5"/>
        </w:numPr>
        <w:rPr>
          <w:lang w:val="en-GB"/>
        </w:rPr>
      </w:pPr>
      <w:r>
        <w:rPr>
          <w:lang w:val="en-GB"/>
        </w:rPr>
        <w:t xml:space="preserve">The right to education </w:t>
      </w:r>
      <w:bookmarkStart w:id="56" w:name="_Hlk517211544"/>
      <w:r>
        <w:rPr>
          <w:lang w:val="en-GB"/>
        </w:rPr>
        <w:t>and enhancement of qualifications</w:t>
      </w:r>
      <w:r w:rsidR="00AF16CB">
        <w:rPr>
          <w:lang w:val="en-GB"/>
        </w:rPr>
        <w:t xml:space="preserve"> </w:t>
      </w:r>
      <w:bookmarkEnd w:id="56"/>
      <w:r w:rsidR="00AF16CB">
        <w:rPr>
          <w:lang w:val="en-GB"/>
        </w:rPr>
        <w:t>(also see below)</w:t>
      </w:r>
      <w:r>
        <w:rPr>
          <w:lang w:val="en-GB"/>
        </w:rPr>
        <w:t>.</w:t>
      </w:r>
      <w:r w:rsidRPr="00A36FFC">
        <w:rPr>
          <w:rStyle w:val="FootnoteReference"/>
        </w:rPr>
        <w:footnoteReference w:id="203"/>
      </w:r>
    </w:p>
    <w:p w14:paraId="6BC250C6" w14:textId="77777777" w:rsidR="00466261" w:rsidRPr="006C6C4F" w:rsidRDefault="00466261" w:rsidP="00FA17A9">
      <w:pPr>
        <w:pStyle w:val="MMultilevel"/>
        <w:rPr>
          <w:lang w:val="en-GB"/>
        </w:rPr>
      </w:pPr>
    </w:p>
    <w:p w14:paraId="0C6C3B05" w14:textId="77777777" w:rsidR="008E29F0" w:rsidRPr="006C6C4F" w:rsidRDefault="008E29F0" w:rsidP="008E29F0">
      <w:pPr>
        <w:pStyle w:val="MBT"/>
        <w:rPr>
          <w:lang w:val="en-GB"/>
        </w:rPr>
      </w:pPr>
    </w:p>
    <w:p w14:paraId="2F20DBA0" w14:textId="77777777" w:rsidR="00B311A7" w:rsidRPr="006C6C4F" w:rsidRDefault="00B311A7" w:rsidP="007B4516">
      <w:pPr>
        <w:pStyle w:val="MH1"/>
        <w:pageBreakBefore w:val="0"/>
        <w:ind w:left="431" w:hanging="431"/>
      </w:pPr>
      <w:bookmarkStart w:id="57" w:name="_Toc522130164"/>
      <w:r w:rsidRPr="006C6C4F">
        <w:t>Rights granted to the investors’ family members</w:t>
      </w:r>
      <w:bookmarkEnd w:id="57"/>
    </w:p>
    <w:p w14:paraId="1A96546E" w14:textId="671C3D13" w:rsidR="008E29F0" w:rsidRDefault="006D1937" w:rsidP="008E29F0">
      <w:pPr>
        <w:pStyle w:val="MBT"/>
        <w:rPr>
          <w:lang w:val="en-GB"/>
        </w:rPr>
      </w:pPr>
      <w:r w:rsidRPr="006C6C4F">
        <w:rPr>
          <w:lang w:val="en-GB"/>
        </w:rPr>
        <w:t xml:space="preserve">Family members can enter Lithuania together with the </w:t>
      </w:r>
      <w:r w:rsidR="004E62E2">
        <w:rPr>
          <w:lang w:val="en-GB"/>
        </w:rPr>
        <w:t xml:space="preserve">foreign </w:t>
      </w:r>
      <w:r w:rsidRPr="006C6C4F">
        <w:rPr>
          <w:lang w:val="en-GB"/>
        </w:rPr>
        <w:t xml:space="preserve">investor and work </w:t>
      </w:r>
      <w:r w:rsidR="004E62E2">
        <w:rPr>
          <w:lang w:val="en-GB"/>
        </w:rPr>
        <w:t>in Lithuania</w:t>
      </w:r>
      <w:r w:rsidR="004E62E2" w:rsidRPr="006C6C4F">
        <w:rPr>
          <w:lang w:val="en-GB"/>
        </w:rPr>
        <w:t xml:space="preserve"> </w:t>
      </w:r>
      <w:r w:rsidRPr="006C6C4F">
        <w:rPr>
          <w:lang w:val="en-GB"/>
        </w:rPr>
        <w:t>for the duration of the TRP.</w:t>
      </w:r>
      <w:r w:rsidRPr="004C4CE9">
        <w:rPr>
          <w:rStyle w:val="FootnoteReference"/>
        </w:rPr>
        <w:footnoteReference w:id="204"/>
      </w:r>
      <w:r w:rsidRPr="006C6C4F">
        <w:rPr>
          <w:lang w:val="en-GB"/>
        </w:rPr>
        <w:t xml:space="preserve"> </w:t>
      </w:r>
      <w:r w:rsidR="00E3549C" w:rsidRPr="006C6C4F">
        <w:rPr>
          <w:lang w:val="en-GB"/>
        </w:rPr>
        <w:t xml:space="preserve">There are no other additional rights granted to the family member(s) foreign investors: they are treated in the same way as family member(s) of other </w:t>
      </w:r>
      <w:r w:rsidR="004E62E2">
        <w:rPr>
          <w:lang w:val="en-GB"/>
        </w:rPr>
        <w:t>third-country</w:t>
      </w:r>
      <w:r w:rsidR="004E62E2" w:rsidRPr="006C6C4F">
        <w:rPr>
          <w:lang w:val="en-GB"/>
        </w:rPr>
        <w:t xml:space="preserve"> </w:t>
      </w:r>
      <w:r w:rsidR="00E3549C" w:rsidRPr="006C6C4F">
        <w:rPr>
          <w:lang w:val="en-GB"/>
        </w:rPr>
        <w:t>nationals</w:t>
      </w:r>
      <w:r w:rsidRPr="006C6C4F">
        <w:rPr>
          <w:lang w:val="en-GB"/>
        </w:rPr>
        <w:t xml:space="preserve"> who </w:t>
      </w:r>
      <w:r w:rsidR="004E62E2">
        <w:rPr>
          <w:lang w:val="en-GB"/>
        </w:rPr>
        <w:t>have been granted</w:t>
      </w:r>
      <w:r w:rsidR="004E62E2" w:rsidRPr="006C6C4F">
        <w:rPr>
          <w:lang w:val="en-GB"/>
        </w:rPr>
        <w:t xml:space="preserve"> </w:t>
      </w:r>
      <w:r w:rsidRPr="006C6C4F">
        <w:rPr>
          <w:lang w:val="en-GB"/>
        </w:rPr>
        <w:t>a TRP</w:t>
      </w:r>
      <w:r w:rsidR="00681BD9">
        <w:rPr>
          <w:lang w:val="en-GB"/>
        </w:rPr>
        <w:t xml:space="preserve"> (see above, Section III.1)</w:t>
      </w:r>
      <w:r w:rsidR="00E3549C" w:rsidRPr="006C6C4F">
        <w:rPr>
          <w:lang w:val="en-GB"/>
        </w:rPr>
        <w:t>.</w:t>
      </w:r>
      <w:r w:rsidR="00F155BE" w:rsidRPr="004C4CE9">
        <w:rPr>
          <w:rStyle w:val="FootnoteReference"/>
          <w:rFonts w:eastAsia="MinionPro-Regular"/>
        </w:rPr>
        <w:footnoteReference w:id="205"/>
      </w:r>
    </w:p>
    <w:p w14:paraId="44D28CFC" w14:textId="3244B861" w:rsidR="00C1408A" w:rsidRDefault="00C1408A" w:rsidP="008E29F0">
      <w:pPr>
        <w:pStyle w:val="MBT"/>
        <w:rPr>
          <w:lang w:val="en-GB"/>
        </w:rPr>
      </w:pPr>
    </w:p>
    <w:p w14:paraId="5D831D9D" w14:textId="77A79C16" w:rsidR="00F32E57" w:rsidRDefault="00F32E57" w:rsidP="00F32E57">
      <w:pPr>
        <w:pStyle w:val="MBT"/>
        <w:rPr>
          <w:lang w:val="en-GB"/>
        </w:rPr>
      </w:pPr>
      <w:r>
        <w:rPr>
          <w:lang w:val="en-GB"/>
        </w:rPr>
        <w:t xml:space="preserve">With regard to </w:t>
      </w:r>
      <w:r w:rsidR="00DE4C72">
        <w:rPr>
          <w:lang w:val="en-GB"/>
        </w:rPr>
        <w:t>the</w:t>
      </w:r>
      <w:r>
        <w:rPr>
          <w:lang w:val="en-GB"/>
        </w:rPr>
        <w:t xml:space="preserve"> right to education, Article </w:t>
      </w:r>
      <w:r w:rsidRPr="00F32E57">
        <w:rPr>
          <w:lang w:val="en-GB"/>
        </w:rPr>
        <w:t xml:space="preserve">41 </w:t>
      </w:r>
      <w:r>
        <w:rPr>
          <w:lang w:val="en-GB"/>
        </w:rPr>
        <w:t>of Lithuanian Constitution states:</w:t>
      </w:r>
    </w:p>
    <w:p w14:paraId="3F371068" w14:textId="77777777" w:rsidR="00F32E57" w:rsidRDefault="00F32E57" w:rsidP="00F32E57">
      <w:pPr>
        <w:pStyle w:val="MBT"/>
        <w:rPr>
          <w:lang w:val="en-GB"/>
        </w:rPr>
      </w:pPr>
    </w:p>
    <w:p w14:paraId="03C91F66" w14:textId="77777777" w:rsidR="00F32E57" w:rsidRPr="00F32E57" w:rsidRDefault="00F32E57" w:rsidP="00F32E57">
      <w:pPr>
        <w:pStyle w:val="MBT"/>
        <w:ind w:left="708" w:firstLine="708"/>
        <w:rPr>
          <w:rFonts w:eastAsia="MinionPro-Regular"/>
          <w:bCs w:val="0"/>
          <w:sz w:val="20"/>
          <w:szCs w:val="20"/>
          <w:lang w:val="en-GB" w:eastAsia="en-GB"/>
        </w:rPr>
      </w:pPr>
      <w:r w:rsidRPr="00F32E57">
        <w:rPr>
          <w:rFonts w:eastAsia="MinionPro-Regular"/>
          <w:bCs w:val="0"/>
          <w:sz w:val="20"/>
          <w:szCs w:val="20"/>
          <w:lang w:val="en-GB" w:eastAsia="en-GB"/>
        </w:rPr>
        <w:lastRenderedPageBreak/>
        <w:t>Education shall be compulsory for persons under the age of 16.</w:t>
      </w:r>
    </w:p>
    <w:p w14:paraId="31E4B18E" w14:textId="1A842C0F" w:rsidR="00F32E57" w:rsidRPr="00F32E57" w:rsidRDefault="00F32E57" w:rsidP="00F32E57">
      <w:pPr>
        <w:pStyle w:val="MBT"/>
        <w:ind w:left="708" w:firstLine="708"/>
        <w:rPr>
          <w:rFonts w:eastAsia="MinionPro-Regular"/>
          <w:bCs w:val="0"/>
          <w:sz w:val="20"/>
          <w:szCs w:val="20"/>
          <w:lang w:val="en-GB" w:eastAsia="en-GB"/>
        </w:rPr>
      </w:pPr>
      <w:r w:rsidRPr="00F32E57">
        <w:rPr>
          <w:rFonts w:eastAsia="MinionPro-Regular"/>
          <w:bCs w:val="0"/>
          <w:sz w:val="20"/>
          <w:szCs w:val="20"/>
          <w:lang w:val="en-GB" w:eastAsia="en-GB"/>
        </w:rPr>
        <w:t>Education at state and municipal schools of general education, vocational schools, and schools of further education shall be free of charge.</w:t>
      </w:r>
    </w:p>
    <w:p w14:paraId="5CF62812" w14:textId="77777777" w:rsidR="00F32E57" w:rsidRPr="00F32E57" w:rsidRDefault="00F32E57" w:rsidP="00F32E57">
      <w:pPr>
        <w:pStyle w:val="MBT"/>
        <w:ind w:left="708" w:firstLine="708"/>
        <w:rPr>
          <w:rFonts w:eastAsia="MinionPro-Regular"/>
          <w:bCs w:val="0"/>
          <w:sz w:val="20"/>
          <w:szCs w:val="20"/>
          <w:lang w:val="en-GB" w:eastAsia="en-GB"/>
        </w:rPr>
      </w:pPr>
      <w:r w:rsidRPr="00F32E57">
        <w:rPr>
          <w:rFonts w:eastAsia="MinionPro-Regular"/>
          <w:bCs w:val="0"/>
          <w:sz w:val="20"/>
          <w:szCs w:val="20"/>
          <w:lang w:val="en-GB" w:eastAsia="en-GB"/>
        </w:rPr>
        <w:t xml:space="preserve">Higher education shall be accessible to everyone according to individual abilities. Citizens who are good at their studies shall be guaranteed education at state schools of higher education free of charge. </w:t>
      </w:r>
    </w:p>
    <w:p w14:paraId="614C1182" w14:textId="77777777" w:rsidR="00F32E57" w:rsidRPr="00F32E57" w:rsidRDefault="00F32E57" w:rsidP="00F32E57">
      <w:pPr>
        <w:pStyle w:val="MBT"/>
        <w:ind w:left="708"/>
        <w:rPr>
          <w:rFonts w:eastAsia="MinionPro-Regular"/>
          <w:bCs w:val="0"/>
          <w:sz w:val="20"/>
          <w:szCs w:val="20"/>
          <w:lang w:val="en-GB" w:eastAsia="en-GB"/>
        </w:rPr>
      </w:pPr>
    </w:p>
    <w:p w14:paraId="519CFE5D" w14:textId="063AF637" w:rsidR="0074257F" w:rsidRDefault="0074257F" w:rsidP="00F32E57">
      <w:pPr>
        <w:pStyle w:val="MBT"/>
        <w:rPr>
          <w:lang w:val="en-GB"/>
        </w:rPr>
      </w:pPr>
      <w:r>
        <w:rPr>
          <w:lang w:val="en-GB"/>
        </w:rPr>
        <w:t xml:space="preserve">Where investors’ family members </w:t>
      </w:r>
      <w:r w:rsidR="00E31673">
        <w:rPr>
          <w:lang w:val="en-GB"/>
        </w:rPr>
        <w:t>ha</w:t>
      </w:r>
      <w:r w:rsidR="00681BD9">
        <w:rPr>
          <w:lang w:val="en-GB"/>
        </w:rPr>
        <w:t>ve</w:t>
      </w:r>
      <w:r w:rsidR="00E31673">
        <w:rPr>
          <w:lang w:val="en-GB"/>
        </w:rPr>
        <w:t xml:space="preserve"> </w:t>
      </w:r>
      <w:r>
        <w:rPr>
          <w:lang w:val="en-GB"/>
        </w:rPr>
        <w:t>obtained a TRP</w:t>
      </w:r>
      <w:r w:rsidR="00D52765">
        <w:rPr>
          <w:lang w:val="en-GB"/>
        </w:rPr>
        <w:t xml:space="preserve"> as the investors’ family members under </w:t>
      </w:r>
      <w:r w:rsidR="00D52765">
        <w:t>Article 40.6 LLSA</w:t>
      </w:r>
      <w:r>
        <w:rPr>
          <w:lang w:val="en-GB"/>
        </w:rPr>
        <w:t xml:space="preserve">, they have the right to </w:t>
      </w:r>
      <w:r w:rsidR="008B0066">
        <w:rPr>
          <w:lang w:val="en-GB"/>
        </w:rPr>
        <w:t xml:space="preserve">primary and secondary </w:t>
      </w:r>
      <w:r>
        <w:rPr>
          <w:lang w:val="en-GB"/>
        </w:rPr>
        <w:t>education</w:t>
      </w:r>
      <w:r w:rsidRPr="00A36FFC">
        <w:rPr>
          <w:rStyle w:val="FootnoteReference"/>
        </w:rPr>
        <w:footnoteReference w:id="206"/>
      </w:r>
      <w:r>
        <w:rPr>
          <w:lang w:val="en-GB"/>
        </w:rPr>
        <w:t xml:space="preserve"> </w:t>
      </w:r>
      <w:r w:rsidR="00CD3833">
        <w:rPr>
          <w:lang w:val="en-GB"/>
        </w:rPr>
        <w:t>a</w:t>
      </w:r>
      <w:r>
        <w:rPr>
          <w:lang w:val="en-GB"/>
        </w:rPr>
        <w:t xml:space="preserve">nd </w:t>
      </w:r>
      <w:r w:rsidR="00CD3833">
        <w:rPr>
          <w:lang w:val="en-GB"/>
        </w:rPr>
        <w:t xml:space="preserve">can </w:t>
      </w:r>
      <w:r>
        <w:rPr>
          <w:lang w:val="en-GB"/>
        </w:rPr>
        <w:t xml:space="preserve">access </w:t>
      </w:r>
      <w:r w:rsidR="009061F8">
        <w:rPr>
          <w:lang w:val="en-GB"/>
        </w:rPr>
        <w:t>higher education</w:t>
      </w:r>
      <w:r>
        <w:rPr>
          <w:lang w:val="en-GB"/>
        </w:rPr>
        <w:t xml:space="preserve">. </w:t>
      </w:r>
      <w:r w:rsidR="00E91CD5">
        <w:rPr>
          <w:lang w:val="en-GB"/>
        </w:rPr>
        <w:t xml:space="preserve">Foreign investors’ children who do not speak Lithuanian would learn in specially </w:t>
      </w:r>
      <w:r w:rsidR="00DF6AA9">
        <w:rPr>
          <w:lang w:val="en-GB"/>
        </w:rPr>
        <w:t>convened</w:t>
      </w:r>
      <w:r w:rsidR="00E91CD5">
        <w:rPr>
          <w:lang w:val="en-GB"/>
        </w:rPr>
        <w:t xml:space="preserve"> </w:t>
      </w:r>
      <w:r w:rsidR="00A12A81">
        <w:t xml:space="preserve">adjustment </w:t>
      </w:r>
      <w:r w:rsidR="00E91CD5">
        <w:rPr>
          <w:lang w:val="en-GB"/>
        </w:rPr>
        <w:t>classes or groups</w:t>
      </w:r>
      <w:r w:rsidR="00C73C96" w:rsidRPr="00A36FFC">
        <w:rPr>
          <w:rStyle w:val="FootnoteReference"/>
        </w:rPr>
        <w:footnoteReference w:id="207"/>
      </w:r>
      <w:r w:rsidR="00E91CD5">
        <w:rPr>
          <w:lang w:val="en-GB"/>
        </w:rPr>
        <w:t xml:space="preserve"> that are designed </w:t>
      </w:r>
      <w:r w:rsidR="00423563">
        <w:rPr>
          <w:lang w:val="en-GB"/>
        </w:rPr>
        <w:t xml:space="preserve">by their kindergarten or school, </w:t>
      </w:r>
      <w:r w:rsidR="00E91CD5">
        <w:rPr>
          <w:lang w:val="en-GB"/>
        </w:rPr>
        <w:t xml:space="preserve">based on the </w:t>
      </w:r>
      <w:r w:rsidR="00423563">
        <w:rPr>
          <w:lang w:val="en-GB"/>
        </w:rPr>
        <w:t>local requirements</w:t>
      </w:r>
      <w:r w:rsidR="00E91CD5">
        <w:rPr>
          <w:lang w:val="en-GB"/>
        </w:rPr>
        <w:t>.</w:t>
      </w:r>
      <w:r w:rsidR="00E91CD5" w:rsidRPr="00A36FFC">
        <w:rPr>
          <w:rStyle w:val="FootnoteReference"/>
        </w:rPr>
        <w:footnoteReference w:id="208"/>
      </w:r>
      <w:r w:rsidR="00B83991">
        <w:rPr>
          <w:lang w:val="en-GB"/>
        </w:rPr>
        <w:t xml:space="preserve"> Such investors’ family members also would have the same rights to work, health care and welfare support as the investor who had been issued a TRP.</w:t>
      </w:r>
    </w:p>
    <w:p w14:paraId="26D47522" w14:textId="77777777" w:rsidR="0074257F" w:rsidRDefault="0074257F" w:rsidP="00F32E57">
      <w:pPr>
        <w:pStyle w:val="MBT"/>
        <w:rPr>
          <w:lang w:val="en-GB"/>
        </w:rPr>
      </w:pPr>
    </w:p>
    <w:p w14:paraId="729A8FF4" w14:textId="1FF993C9" w:rsidR="00A9449D" w:rsidRPr="006C6C4F" w:rsidRDefault="00A9449D" w:rsidP="008E29F0">
      <w:pPr>
        <w:pStyle w:val="MBT"/>
        <w:rPr>
          <w:lang w:val="en-GB"/>
        </w:rPr>
      </w:pPr>
      <w:bookmarkStart w:id="58" w:name="_Hlk517211594"/>
      <w:r>
        <w:rPr>
          <w:lang w:val="en-GB"/>
        </w:rPr>
        <w:t xml:space="preserve">The key institution responsible for the integration of third-country nationals in Lithuania is the Ministry </w:t>
      </w:r>
      <w:r w:rsidR="00620744" w:rsidRPr="00620744">
        <w:rPr>
          <w:lang w:val="en-GB"/>
        </w:rPr>
        <w:t>of Social Security and Labour</w:t>
      </w:r>
      <w:r w:rsidR="00620744">
        <w:rPr>
          <w:lang w:val="en-GB"/>
        </w:rPr>
        <w:t xml:space="preserve">. </w:t>
      </w:r>
      <w:bookmarkEnd w:id="58"/>
      <w:r w:rsidR="00620744">
        <w:rPr>
          <w:lang w:val="en-GB"/>
        </w:rPr>
        <w:t>However, the guidance on integration on its official website seems to be aimed mainly at refugees and asylum seekers.</w:t>
      </w:r>
      <w:r w:rsidR="0087203E" w:rsidRPr="00A36FFC">
        <w:rPr>
          <w:rStyle w:val="FootnoteReference"/>
        </w:rPr>
        <w:footnoteReference w:id="209"/>
      </w:r>
    </w:p>
    <w:p w14:paraId="1431C87F" w14:textId="31F7DA23" w:rsidR="008E29F0" w:rsidRDefault="008E29F0" w:rsidP="008E29F0">
      <w:pPr>
        <w:pStyle w:val="MBT"/>
        <w:rPr>
          <w:lang w:val="en-GB"/>
        </w:rPr>
      </w:pPr>
    </w:p>
    <w:p w14:paraId="0C783BA6" w14:textId="77777777" w:rsidR="005C109E" w:rsidRPr="006C6C4F" w:rsidRDefault="005C109E" w:rsidP="008E29F0">
      <w:pPr>
        <w:pStyle w:val="MBT"/>
        <w:rPr>
          <w:lang w:val="en-GB"/>
        </w:rPr>
      </w:pPr>
    </w:p>
    <w:p w14:paraId="54E55D05" w14:textId="77777777" w:rsidR="00B311A7" w:rsidRPr="006C6C4F" w:rsidRDefault="00B311A7" w:rsidP="008E29F0">
      <w:pPr>
        <w:pStyle w:val="MH1"/>
        <w:pageBreakBefore w:val="0"/>
        <w:ind w:left="431" w:hanging="431"/>
      </w:pPr>
      <w:bookmarkStart w:id="59" w:name="_Toc522130165"/>
      <w:r w:rsidRPr="006C6C4F">
        <w:t>Other benefits</w:t>
      </w:r>
      <w:bookmarkEnd w:id="59"/>
      <w:r w:rsidRPr="006C6C4F">
        <w:t xml:space="preserve"> </w:t>
      </w:r>
    </w:p>
    <w:p w14:paraId="7E2E5B16" w14:textId="77777777" w:rsidR="009B2B38" w:rsidRPr="006C6C4F" w:rsidRDefault="009B2B38" w:rsidP="00AE78BA">
      <w:pPr>
        <w:autoSpaceDE w:val="0"/>
        <w:autoSpaceDN w:val="0"/>
        <w:adjustRightInd w:val="0"/>
        <w:jc w:val="both"/>
        <w:rPr>
          <w:rFonts w:eastAsia="MinionPro-Regular"/>
          <w:sz w:val="22"/>
          <w:szCs w:val="22"/>
          <w:lang w:eastAsia="en-GB"/>
        </w:rPr>
      </w:pPr>
      <w:r w:rsidRPr="006C6C4F">
        <w:rPr>
          <w:rFonts w:eastAsia="MinionPro-Regular"/>
          <w:sz w:val="22"/>
          <w:szCs w:val="22"/>
          <w:lang w:eastAsia="en-GB"/>
        </w:rPr>
        <w:t>Compared with other immigrants to Lithuania, foreign investors do not have any other special rights with regard to entry, arrival, residence or Lithuanian citizenship acquisition. There are no economic or tax advantages, either.</w:t>
      </w:r>
      <w:r w:rsidRPr="00A36FFC">
        <w:rPr>
          <w:rStyle w:val="FootnoteReference"/>
          <w:rFonts w:eastAsia="MinionPro-Regular"/>
        </w:rPr>
        <w:footnoteReference w:id="210"/>
      </w:r>
    </w:p>
    <w:p w14:paraId="536945C4" w14:textId="77777777" w:rsidR="009B2B38" w:rsidRPr="006C6C4F" w:rsidRDefault="009B2B38" w:rsidP="00AE78BA">
      <w:pPr>
        <w:autoSpaceDE w:val="0"/>
        <w:autoSpaceDN w:val="0"/>
        <w:adjustRightInd w:val="0"/>
        <w:jc w:val="both"/>
        <w:rPr>
          <w:rFonts w:eastAsia="MinionPro-Regular"/>
          <w:sz w:val="22"/>
          <w:szCs w:val="22"/>
          <w:lang w:eastAsia="en-GB"/>
        </w:rPr>
      </w:pPr>
    </w:p>
    <w:p w14:paraId="08A643E7" w14:textId="0A225A30" w:rsidR="00CA4DA5" w:rsidRPr="006C6C4F" w:rsidRDefault="009B2B38" w:rsidP="00AE78BA">
      <w:pPr>
        <w:autoSpaceDE w:val="0"/>
        <w:autoSpaceDN w:val="0"/>
        <w:adjustRightInd w:val="0"/>
        <w:jc w:val="both"/>
        <w:rPr>
          <w:color w:val="FF0000"/>
        </w:rPr>
      </w:pPr>
      <w:r w:rsidRPr="006C6C4F">
        <w:rPr>
          <w:rFonts w:eastAsia="MinionPro-Regular"/>
          <w:sz w:val="22"/>
          <w:szCs w:val="22"/>
          <w:lang w:eastAsia="en-GB"/>
        </w:rPr>
        <w:t xml:space="preserve">The slightly more advantageous treatment is provided for medium foreign investors, who invest at least </w:t>
      </w:r>
      <w:r w:rsidR="004E62E2">
        <w:rPr>
          <w:rFonts w:eastAsia="MinionPro-Regular"/>
          <w:sz w:val="22"/>
          <w:szCs w:val="22"/>
          <w:lang w:eastAsia="en-GB"/>
        </w:rPr>
        <w:t xml:space="preserve">EUR </w:t>
      </w:r>
      <w:r w:rsidRPr="006C6C4F">
        <w:rPr>
          <w:rFonts w:eastAsia="MinionPro-Regular"/>
          <w:sz w:val="22"/>
          <w:szCs w:val="22"/>
          <w:lang w:eastAsia="en-GB"/>
        </w:rPr>
        <w:t xml:space="preserve">260,000 and create </w:t>
      </w:r>
      <w:r w:rsidR="004E62E2">
        <w:rPr>
          <w:rFonts w:eastAsia="MinionPro-Regular"/>
          <w:sz w:val="22"/>
          <w:szCs w:val="22"/>
          <w:lang w:eastAsia="en-GB"/>
        </w:rPr>
        <w:t>five</w:t>
      </w:r>
      <w:r w:rsidRPr="006C6C4F">
        <w:rPr>
          <w:rFonts w:eastAsia="MinionPro-Regular"/>
          <w:sz w:val="22"/>
          <w:szCs w:val="22"/>
          <w:lang w:eastAsia="en-GB"/>
        </w:rPr>
        <w:t xml:space="preserve"> full-time jobs in their companies. However, these advantages are minor: the TRP is issued</w:t>
      </w:r>
      <w:r w:rsidR="004E62E2">
        <w:rPr>
          <w:rFonts w:eastAsia="MinionPro-Regular"/>
          <w:sz w:val="22"/>
          <w:szCs w:val="22"/>
          <w:lang w:eastAsia="en-GB"/>
        </w:rPr>
        <w:t xml:space="preserve"> to them</w:t>
      </w:r>
      <w:r w:rsidRPr="006C6C4F">
        <w:rPr>
          <w:rFonts w:eastAsia="MinionPro-Regular"/>
          <w:sz w:val="22"/>
          <w:szCs w:val="22"/>
          <w:lang w:eastAsia="en-GB"/>
        </w:rPr>
        <w:t xml:space="preserve"> for </w:t>
      </w:r>
      <w:r w:rsidR="004E62E2">
        <w:rPr>
          <w:rFonts w:eastAsia="MinionPro-Regular"/>
          <w:sz w:val="22"/>
          <w:szCs w:val="22"/>
          <w:lang w:eastAsia="en-GB"/>
        </w:rPr>
        <w:t>three</w:t>
      </w:r>
      <w:r w:rsidRPr="006C6C4F">
        <w:rPr>
          <w:rFonts w:eastAsia="MinionPro-Regular"/>
          <w:sz w:val="22"/>
          <w:szCs w:val="22"/>
          <w:lang w:eastAsia="en-GB"/>
        </w:rPr>
        <w:t xml:space="preserve"> years, while for small investors it is </w:t>
      </w:r>
      <w:r w:rsidR="004E62E2">
        <w:rPr>
          <w:rFonts w:eastAsia="MinionPro-Regular"/>
          <w:sz w:val="22"/>
          <w:szCs w:val="22"/>
          <w:lang w:eastAsia="en-GB"/>
        </w:rPr>
        <w:t>two</w:t>
      </w:r>
      <w:r w:rsidRPr="006C6C4F">
        <w:rPr>
          <w:rFonts w:eastAsia="MinionPro-Regular"/>
          <w:sz w:val="22"/>
          <w:szCs w:val="22"/>
          <w:lang w:eastAsia="en-GB"/>
        </w:rPr>
        <w:t xml:space="preserve"> years.</w:t>
      </w:r>
      <w:r w:rsidR="00CA4DA5" w:rsidRPr="00A36FFC">
        <w:rPr>
          <w:rStyle w:val="FootnoteReference"/>
          <w:rFonts w:eastAsia="MinionPro-Regular"/>
        </w:rPr>
        <w:footnoteReference w:id="211"/>
      </w:r>
      <w:r w:rsidR="00716AE5" w:rsidRPr="006C6C4F">
        <w:rPr>
          <w:rFonts w:eastAsia="MinionPro-Regular"/>
          <w:sz w:val="22"/>
          <w:szCs w:val="22"/>
          <w:lang w:eastAsia="en-GB"/>
        </w:rPr>
        <w:t xml:space="preserve"> For </w:t>
      </w:r>
      <w:r w:rsidR="004E62E2">
        <w:rPr>
          <w:rFonts w:eastAsia="MinionPro-Regular"/>
          <w:sz w:val="22"/>
          <w:szCs w:val="22"/>
          <w:lang w:eastAsia="en-GB"/>
        </w:rPr>
        <w:t xml:space="preserve">a </w:t>
      </w:r>
      <w:r w:rsidR="00716AE5" w:rsidRPr="006C6C4F">
        <w:rPr>
          <w:rFonts w:eastAsia="MinionPro-Regular"/>
          <w:sz w:val="22"/>
          <w:szCs w:val="22"/>
          <w:lang w:eastAsia="en-GB"/>
        </w:rPr>
        <w:t>comparison, please see the ‘Residence Phase’ table above.</w:t>
      </w:r>
    </w:p>
    <w:p w14:paraId="6D87A445" w14:textId="77777777" w:rsidR="00B311A7" w:rsidRPr="006C6C4F" w:rsidRDefault="00B311A7" w:rsidP="00613C2F">
      <w:pPr>
        <w:pStyle w:val="MH1nonumb"/>
        <w:numPr>
          <w:ilvl w:val="0"/>
          <w:numId w:val="10"/>
        </w:numPr>
        <w:ind w:left="426" w:hanging="284"/>
      </w:pPr>
      <w:bookmarkStart w:id="60" w:name="_Toc496025540"/>
      <w:bookmarkStart w:id="61" w:name="_Toc522130166"/>
      <w:r w:rsidRPr="006C6C4F">
        <w:lastRenderedPageBreak/>
        <w:t>INTERACTION BETWEEN RESIDENCE AND CITIZENSHIP SCHEMES</w:t>
      </w:r>
      <w:bookmarkEnd w:id="60"/>
      <w:bookmarkEnd w:id="61"/>
    </w:p>
    <w:p w14:paraId="04DE46CE" w14:textId="5DC30C89" w:rsidR="00694F92" w:rsidRDefault="00D826D9" w:rsidP="00B311A7">
      <w:pPr>
        <w:jc w:val="both"/>
        <w:rPr>
          <w:sz w:val="22"/>
          <w:szCs w:val="22"/>
        </w:rPr>
      </w:pPr>
      <w:bookmarkStart w:id="62" w:name="_Hlk517211862"/>
      <w:r w:rsidRPr="006C6C4F">
        <w:rPr>
          <w:sz w:val="22"/>
          <w:szCs w:val="22"/>
        </w:rPr>
        <w:t xml:space="preserve">Lithuania does not provide any route to citizenship </w:t>
      </w:r>
      <w:r w:rsidR="004E62E2">
        <w:rPr>
          <w:sz w:val="22"/>
          <w:szCs w:val="22"/>
        </w:rPr>
        <w:t>through</w:t>
      </w:r>
      <w:r w:rsidR="004E62E2" w:rsidRPr="006C6C4F">
        <w:rPr>
          <w:sz w:val="22"/>
          <w:szCs w:val="22"/>
        </w:rPr>
        <w:t xml:space="preserve"> </w:t>
      </w:r>
      <w:r w:rsidRPr="006C6C4F">
        <w:rPr>
          <w:sz w:val="22"/>
          <w:szCs w:val="22"/>
        </w:rPr>
        <w:t>investment: foreign investors must meet the ordinary naturalisation conditions if they wish to obtain Lithuanian nationality</w:t>
      </w:r>
      <w:bookmarkEnd w:id="62"/>
      <w:r w:rsidR="00694F92">
        <w:rPr>
          <w:sz w:val="22"/>
          <w:szCs w:val="22"/>
        </w:rPr>
        <w:t>.</w:t>
      </w:r>
      <w:r w:rsidR="00522C2B" w:rsidRPr="00A36FFC">
        <w:rPr>
          <w:rStyle w:val="FootnoteReference"/>
        </w:rPr>
        <w:footnoteReference w:id="212"/>
      </w:r>
      <w:r w:rsidR="00524FBA">
        <w:rPr>
          <w:sz w:val="22"/>
          <w:szCs w:val="22"/>
        </w:rPr>
        <w:t xml:space="preserve"> </w:t>
      </w:r>
      <w:r w:rsidR="0050317A">
        <w:rPr>
          <w:sz w:val="22"/>
          <w:szCs w:val="22"/>
        </w:rPr>
        <w:t xml:space="preserve">These naturalisation conditions, listed in the </w:t>
      </w:r>
      <w:r w:rsidR="0050317A" w:rsidRPr="0050317A">
        <w:rPr>
          <w:sz w:val="22"/>
          <w:szCs w:val="22"/>
        </w:rPr>
        <w:t>Law on Citizenship</w:t>
      </w:r>
      <w:r w:rsidR="0050317A">
        <w:rPr>
          <w:sz w:val="22"/>
          <w:szCs w:val="22"/>
        </w:rPr>
        <w:t>, state</w:t>
      </w:r>
      <w:r w:rsidR="0042433B">
        <w:rPr>
          <w:sz w:val="22"/>
          <w:szCs w:val="22"/>
        </w:rPr>
        <w:t xml:space="preserve"> that the </w:t>
      </w:r>
      <w:r w:rsidR="00FE0699">
        <w:rPr>
          <w:sz w:val="22"/>
          <w:szCs w:val="22"/>
        </w:rPr>
        <w:t>applicant</w:t>
      </w:r>
      <w:r w:rsidR="0050317A">
        <w:rPr>
          <w:sz w:val="22"/>
          <w:szCs w:val="22"/>
        </w:rPr>
        <w:t xml:space="preserve"> must</w:t>
      </w:r>
      <w:r w:rsidR="00694F92">
        <w:rPr>
          <w:sz w:val="22"/>
          <w:szCs w:val="22"/>
        </w:rPr>
        <w:t>:</w:t>
      </w:r>
      <w:r w:rsidR="00CA67B8">
        <w:rPr>
          <w:rStyle w:val="FootnoteReference"/>
          <w:sz w:val="22"/>
          <w:szCs w:val="22"/>
        </w:rPr>
        <w:footnoteReference w:id="213"/>
      </w:r>
    </w:p>
    <w:p w14:paraId="7E239B84" w14:textId="5AE1D4CC" w:rsidR="0042433B" w:rsidRPr="0042433B" w:rsidRDefault="0042433B" w:rsidP="0042433B">
      <w:pPr>
        <w:pStyle w:val="ListParagraph"/>
        <w:numPr>
          <w:ilvl w:val="0"/>
          <w:numId w:val="33"/>
        </w:numPr>
        <w:rPr>
          <w:color w:val="000000"/>
          <w:sz w:val="24"/>
          <w:szCs w:val="24"/>
          <w:lang w:eastAsia="en-GB"/>
        </w:rPr>
      </w:pPr>
      <w:r>
        <w:rPr>
          <w:color w:val="000000"/>
        </w:rPr>
        <w:t>ha</w:t>
      </w:r>
      <w:r w:rsidR="0050317A">
        <w:rPr>
          <w:color w:val="000000"/>
        </w:rPr>
        <w:t>ve</w:t>
      </w:r>
      <w:r>
        <w:rPr>
          <w:color w:val="000000"/>
        </w:rPr>
        <w:t xml:space="preserve"> been legally permanently resident in the Republic of Lithuania for the last ten years</w:t>
      </w:r>
      <w:r w:rsidRPr="0042433B">
        <w:rPr>
          <w:color w:val="000000"/>
          <w:lang w:val="lt-LT"/>
        </w:rPr>
        <w:t>;</w:t>
      </w:r>
    </w:p>
    <w:p w14:paraId="37121129" w14:textId="7091812C" w:rsidR="0042433B" w:rsidRPr="0042433B" w:rsidRDefault="0042433B" w:rsidP="0042433B">
      <w:pPr>
        <w:pStyle w:val="ListParagraph"/>
        <w:numPr>
          <w:ilvl w:val="0"/>
          <w:numId w:val="33"/>
        </w:numPr>
        <w:rPr>
          <w:color w:val="000000"/>
        </w:rPr>
      </w:pPr>
      <w:bookmarkStart w:id="63" w:name="part_b3c1f941e5b74a74a2015992bc4e2c15"/>
      <w:bookmarkEnd w:id="63"/>
      <w:r>
        <w:rPr>
          <w:color w:val="000000"/>
        </w:rPr>
        <w:t>at the time of the application for the granting of citizenship of the Republic of Lithuania and the decision regarding the granting of citizenship of the Republic of Lithuania, ha</w:t>
      </w:r>
      <w:r w:rsidR="0050317A">
        <w:rPr>
          <w:color w:val="000000"/>
        </w:rPr>
        <w:t>ve</w:t>
      </w:r>
      <w:r>
        <w:rPr>
          <w:color w:val="000000"/>
        </w:rPr>
        <w:t xml:space="preserve"> the right of permanent residence in the Republic of Lithuania</w:t>
      </w:r>
      <w:r w:rsidRPr="0042433B">
        <w:rPr>
          <w:color w:val="000000"/>
          <w:lang w:val="lt-LT"/>
        </w:rPr>
        <w:t>;</w:t>
      </w:r>
    </w:p>
    <w:p w14:paraId="4B2935A0" w14:textId="53C79803" w:rsidR="0042433B" w:rsidRPr="0042433B" w:rsidRDefault="0042433B" w:rsidP="0042433B">
      <w:pPr>
        <w:pStyle w:val="ListParagraph"/>
        <w:numPr>
          <w:ilvl w:val="0"/>
          <w:numId w:val="33"/>
        </w:numPr>
        <w:rPr>
          <w:color w:val="000000"/>
        </w:rPr>
      </w:pPr>
      <w:bookmarkStart w:id="64" w:name="part_3cdce71f2fa04b93b9796642126425e7"/>
      <w:bookmarkEnd w:id="64"/>
      <w:r>
        <w:rPr>
          <w:color w:val="000000"/>
        </w:rPr>
        <w:t>ha</w:t>
      </w:r>
      <w:r w:rsidR="0050317A">
        <w:rPr>
          <w:color w:val="000000"/>
        </w:rPr>
        <w:t>ve</w:t>
      </w:r>
      <w:r>
        <w:rPr>
          <w:color w:val="000000"/>
        </w:rPr>
        <w:t xml:space="preserve"> passed an examination in the state language</w:t>
      </w:r>
      <w:r w:rsidRPr="0042433B">
        <w:rPr>
          <w:color w:val="000000"/>
          <w:lang w:val="lt-LT"/>
        </w:rPr>
        <w:t>;</w:t>
      </w:r>
    </w:p>
    <w:p w14:paraId="06FB0BE7" w14:textId="524A30E5" w:rsidR="0042433B" w:rsidRPr="0042433B" w:rsidRDefault="0050317A" w:rsidP="0042433B">
      <w:pPr>
        <w:pStyle w:val="ListParagraph"/>
        <w:numPr>
          <w:ilvl w:val="0"/>
          <w:numId w:val="33"/>
        </w:numPr>
        <w:rPr>
          <w:color w:val="000000"/>
        </w:rPr>
      </w:pPr>
      <w:bookmarkStart w:id="65" w:name="part_3ac6d4aa3a9746fb9d067ed908839530"/>
      <w:bookmarkEnd w:id="65"/>
      <w:r>
        <w:rPr>
          <w:color w:val="000000"/>
        </w:rPr>
        <w:t>have</w:t>
      </w:r>
      <w:r w:rsidR="0042433B">
        <w:rPr>
          <w:color w:val="000000"/>
        </w:rPr>
        <w:t xml:space="preserve"> passed an examination in the fundamentals of the Constitution of the Republic of Lithuania</w:t>
      </w:r>
      <w:r w:rsidR="0042433B" w:rsidRPr="0042433B">
        <w:rPr>
          <w:color w:val="000000"/>
          <w:lang w:val="lt-LT"/>
        </w:rPr>
        <w:t>;</w:t>
      </w:r>
    </w:p>
    <w:p w14:paraId="6804490C" w14:textId="7627A728" w:rsidR="0042433B" w:rsidRPr="0042433B" w:rsidRDefault="0042433B" w:rsidP="0042433B">
      <w:pPr>
        <w:pStyle w:val="ListParagraph"/>
        <w:numPr>
          <w:ilvl w:val="0"/>
          <w:numId w:val="33"/>
        </w:numPr>
        <w:rPr>
          <w:color w:val="000000"/>
        </w:rPr>
      </w:pPr>
      <w:bookmarkStart w:id="66" w:name="part_eb1c93a66ef7405997b056baea892e4d"/>
      <w:bookmarkEnd w:id="66"/>
      <w:r>
        <w:rPr>
          <w:color w:val="000000"/>
        </w:rPr>
        <w:t>ha</w:t>
      </w:r>
      <w:r w:rsidR="0050317A">
        <w:rPr>
          <w:color w:val="000000"/>
        </w:rPr>
        <w:t>ve</w:t>
      </w:r>
      <w:r>
        <w:rPr>
          <w:color w:val="000000"/>
        </w:rPr>
        <w:t xml:space="preserve"> legal means of subsistence</w:t>
      </w:r>
      <w:r w:rsidRPr="0042433B">
        <w:rPr>
          <w:color w:val="000000"/>
          <w:lang w:val="lt-LT"/>
        </w:rPr>
        <w:t>;</w:t>
      </w:r>
    </w:p>
    <w:p w14:paraId="0773510A" w14:textId="672C6933" w:rsidR="0042433B" w:rsidRPr="0042433B" w:rsidRDefault="0050317A" w:rsidP="0042433B">
      <w:pPr>
        <w:pStyle w:val="ListParagraph"/>
        <w:numPr>
          <w:ilvl w:val="0"/>
          <w:numId w:val="33"/>
        </w:numPr>
        <w:rPr>
          <w:color w:val="000000"/>
        </w:rPr>
      </w:pPr>
      <w:bookmarkStart w:id="67" w:name="part_65123f3de02d48dab62cd2587586db65"/>
      <w:bookmarkEnd w:id="67"/>
      <w:r>
        <w:rPr>
          <w:color w:val="000000"/>
        </w:rPr>
        <w:t>be</w:t>
      </w:r>
      <w:r w:rsidR="0042433B">
        <w:rPr>
          <w:color w:val="000000"/>
        </w:rPr>
        <w:t xml:space="preserve"> a stateless person or a citizen of a state under the law of which he loses citizenship of that state on acquiring citizenship of the Republic of Lithuania, or expresses </w:t>
      </w:r>
      <w:r>
        <w:rPr>
          <w:color w:val="000000"/>
        </w:rPr>
        <w:t>the</w:t>
      </w:r>
      <w:r w:rsidR="0042433B">
        <w:rPr>
          <w:color w:val="000000"/>
        </w:rPr>
        <w:t xml:space="preserve"> will in writing to renounce </w:t>
      </w:r>
      <w:r>
        <w:rPr>
          <w:color w:val="000000"/>
        </w:rPr>
        <w:t>their</w:t>
      </w:r>
      <w:r w:rsidR="0042433B">
        <w:rPr>
          <w:color w:val="000000"/>
        </w:rPr>
        <w:t xml:space="preserve"> citizenship of another state after </w:t>
      </w:r>
      <w:r>
        <w:rPr>
          <w:color w:val="000000"/>
        </w:rPr>
        <w:t>they are</w:t>
      </w:r>
      <w:r w:rsidR="0042433B">
        <w:rPr>
          <w:color w:val="000000"/>
        </w:rPr>
        <w:t xml:space="preserve"> granted citizenship of the Republic of Lithuania</w:t>
      </w:r>
      <w:r w:rsidR="0042433B" w:rsidRPr="0042433B">
        <w:rPr>
          <w:color w:val="000000"/>
          <w:lang w:val="lt-LT"/>
        </w:rPr>
        <w:t>;</w:t>
      </w:r>
    </w:p>
    <w:p w14:paraId="6DF8B3E3" w14:textId="7F849163" w:rsidR="0042433B" w:rsidRPr="0042433B" w:rsidRDefault="0050317A" w:rsidP="0042433B">
      <w:pPr>
        <w:pStyle w:val="ListParagraph"/>
        <w:numPr>
          <w:ilvl w:val="0"/>
          <w:numId w:val="33"/>
        </w:numPr>
        <w:rPr>
          <w:color w:val="000000"/>
        </w:rPr>
      </w:pPr>
      <w:bookmarkStart w:id="68" w:name="part_e71eaa19307049b49bc66811c70ce245"/>
      <w:bookmarkEnd w:id="68"/>
      <w:r>
        <w:rPr>
          <w:color w:val="000000"/>
        </w:rPr>
        <w:t xml:space="preserve">show </w:t>
      </w:r>
      <w:r w:rsidR="00D12131">
        <w:rPr>
          <w:color w:val="000000"/>
        </w:rPr>
        <w:t xml:space="preserve">there are no circumstances specified in Article 22 of the Law </w:t>
      </w:r>
      <w:r w:rsidR="00D12131" w:rsidRPr="00E02AEF">
        <w:t xml:space="preserve">on </w:t>
      </w:r>
      <w:r w:rsidR="00D12131">
        <w:t>Citizenship</w:t>
      </w:r>
      <w:r>
        <w:t xml:space="preserve"> (committed</w:t>
      </w:r>
      <w:r w:rsidR="00D12131">
        <w:t xml:space="preserve"> </w:t>
      </w:r>
      <w:r w:rsidR="00D12131">
        <w:rPr>
          <w:color w:val="000000"/>
        </w:rPr>
        <w:t xml:space="preserve">international crimes; </w:t>
      </w:r>
      <w:r>
        <w:t xml:space="preserve">committed </w:t>
      </w:r>
      <w:r w:rsidR="00D12131">
        <w:rPr>
          <w:color w:val="000000"/>
        </w:rPr>
        <w:t xml:space="preserve">criminal acts against the Republic of Lithuania; </w:t>
      </w:r>
      <w:r>
        <w:rPr>
          <w:color w:val="000000"/>
        </w:rPr>
        <w:t xml:space="preserve">were </w:t>
      </w:r>
      <w:r w:rsidR="00D12131">
        <w:rPr>
          <w:color w:val="000000"/>
        </w:rPr>
        <w:t xml:space="preserve">sentenced to imprisonment in another state for a premeditated crime which is a grave crime under laws of the Republic of Lithuania, or were punished for a grave crime in the Republic of Lithuania; </w:t>
      </w:r>
      <w:r>
        <w:rPr>
          <w:color w:val="000000"/>
        </w:rPr>
        <w:t xml:space="preserve">were </w:t>
      </w:r>
      <w:r w:rsidR="00D12131">
        <w:rPr>
          <w:color w:val="000000"/>
        </w:rPr>
        <w:t xml:space="preserve">not otherwise </w:t>
      </w:r>
      <w:r>
        <w:rPr>
          <w:color w:val="000000"/>
        </w:rPr>
        <w:t>lawfully</w:t>
      </w:r>
      <w:r w:rsidR="00D12131">
        <w:rPr>
          <w:color w:val="000000"/>
        </w:rPr>
        <w:t xml:space="preserve"> entitled to obtain a document attesting to the right of permanent residence).</w:t>
      </w:r>
    </w:p>
    <w:p w14:paraId="67E49543" w14:textId="77777777" w:rsidR="00522C2B" w:rsidRPr="006C6C4F" w:rsidRDefault="00522C2B" w:rsidP="00B311A7">
      <w:pPr>
        <w:jc w:val="both"/>
        <w:rPr>
          <w:sz w:val="22"/>
          <w:szCs w:val="22"/>
        </w:rPr>
      </w:pPr>
    </w:p>
    <w:p w14:paraId="473F124B" w14:textId="3C7D520A" w:rsidR="00522C2B" w:rsidRPr="006C6C4F" w:rsidRDefault="00522C2B" w:rsidP="00B311A7">
      <w:pPr>
        <w:jc w:val="both"/>
        <w:rPr>
          <w:sz w:val="22"/>
          <w:szCs w:val="22"/>
        </w:rPr>
      </w:pPr>
      <w:r w:rsidRPr="006C6C4F">
        <w:rPr>
          <w:sz w:val="22"/>
          <w:szCs w:val="22"/>
        </w:rPr>
        <w:t>There</w:t>
      </w:r>
      <w:r w:rsidR="00411471">
        <w:rPr>
          <w:sz w:val="22"/>
          <w:szCs w:val="22"/>
        </w:rPr>
        <w:t>fore</w:t>
      </w:r>
      <w:r w:rsidR="0062490F">
        <w:rPr>
          <w:sz w:val="22"/>
          <w:szCs w:val="22"/>
        </w:rPr>
        <w:t>,</w:t>
      </w:r>
      <w:r w:rsidR="00411471">
        <w:rPr>
          <w:sz w:val="22"/>
          <w:szCs w:val="22"/>
        </w:rPr>
        <w:t xml:space="preserve"> there</w:t>
      </w:r>
      <w:r w:rsidRPr="006C6C4F">
        <w:rPr>
          <w:sz w:val="22"/>
          <w:szCs w:val="22"/>
        </w:rPr>
        <w:t xml:space="preserve"> is no statistical data </w:t>
      </w:r>
      <w:r w:rsidR="004E62E2">
        <w:rPr>
          <w:sz w:val="22"/>
          <w:szCs w:val="22"/>
        </w:rPr>
        <w:t>available</w:t>
      </w:r>
      <w:r w:rsidR="00D12131">
        <w:rPr>
          <w:sz w:val="22"/>
          <w:szCs w:val="22"/>
        </w:rPr>
        <w:t xml:space="preserve"> on </w:t>
      </w:r>
      <w:r w:rsidR="00D12131" w:rsidRPr="00D12131">
        <w:rPr>
          <w:sz w:val="22"/>
          <w:szCs w:val="22"/>
        </w:rPr>
        <w:t>interaction between residence and citizenship schemes</w:t>
      </w:r>
      <w:r w:rsidR="00D12131">
        <w:rPr>
          <w:sz w:val="22"/>
          <w:szCs w:val="22"/>
        </w:rPr>
        <w:t xml:space="preserve"> in Lithuania</w:t>
      </w:r>
      <w:r w:rsidR="0062490F">
        <w:rPr>
          <w:sz w:val="22"/>
          <w:szCs w:val="22"/>
        </w:rPr>
        <w:t>.</w:t>
      </w:r>
      <w:r w:rsidRPr="00A36FFC">
        <w:rPr>
          <w:rStyle w:val="FootnoteReference"/>
        </w:rPr>
        <w:footnoteReference w:id="214"/>
      </w:r>
    </w:p>
    <w:p w14:paraId="59AD90C0" w14:textId="77777777" w:rsidR="00D826D9" w:rsidRPr="006C6C4F" w:rsidRDefault="00D826D9" w:rsidP="00B311A7">
      <w:pPr>
        <w:jc w:val="both"/>
        <w:rPr>
          <w:sz w:val="22"/>
          <w:szCs w:val="22"/>
        </w:rPr>
      </w:pPr>
    </w:p>
    <w:p w14:paraId="1607B26D" w14:textId="77777777" w:rsidR="00B311A7" w:rsidRPr="006C6C4F" w:rsidRDefault="00B311A7" w:rsidP="003B3938">
      <w:pPr>
        <w:pStyle w:val="MBT"/>
        <w:rPr>
          <w:color w:val="FF0000"/>
          <w:lang w:val="en-GB"/>
        </w:rPr>
      </w:pPr>
    </w:p>
    <w:p w14:paraId="4054CA27" w14:textId="77777777" w:rsidR="00B311A7" w:rsidRPr="006C6C4F" w:rsidRDefault="00B311A7" w:rsidP="003B3938">
      <w:pPr>
        <w:pStyle w:val="MBT"/>
        <w:rPr>
          <w:color w:val="FF0000"/>
          <w:lang w:val="en-GB"/>
        </w:rPr>
      </w:pPr>
      <w:r w:rsidRPr="006C6C4F">
        <w:rPr>
          <w:color w:val="FF0000"/>
          <w:lang w:val="en-GB"/>
        </w:rPr>
        <w:br w:type="page"/>
      </w:r>
    </w:p>
    <w:p w14:paraId="0FDC09BF" w14:textId="77777777" w:rsidR="00B311A7" w:rsidRPr="006C6C4F" w:rsidRDefault="00B311A7" w:rsidP="00613C2F">
      <w:pPr>
        <w:pStyle w:val="MH1nonumb"/>
        <w:numPr>
          <w:ilvl w:val="0"/>
          <w:numId w:val="10"/>
        </w:numPr>
        <w:ind w:left="426" w:hanging="284"/>
      </w:pPr>
      <w:bookmarkStart w:id="69" w:name="_Toc522130167"/>
      <w:bookmarkStart w:id="70" w:name="_Toc496025541"/>
      <w:r w:rsidRPr="006C6C4F">
        <w:lastRenderedPageBreak/>
        <w:t xml:space="preserve">ECONOMIC AND FINANCIAL EFFICIENCY </w:t>
      </w:r>
      <w:r w:rsidR="00B65D4C" w:rsidRPr="006C6C4F">
        <w:t>OF</w:t>
      </w:r>
      <w:r w:rsidRPr="006C6C4F">
        <w:t xml:space="preserve"> RESIDENCE PERMITS FOR FOREIGN INVESTORS</w:t>
      </w:r>
      <w:bookmarkEnd w:id="69"/>
      <w:r w:rsidRPr="006C6C4F">
        <w:t xml:space="preserve"> </w:t>
      </w:r>
      <w:bookmarkStart w:id="71" w:name="_Hlk493698159"/>
      <w:r w:rsidRPr="006C6C4F">
        <w:t xml:space="preserve"> </w:t>
      </w:r>
      <w:bookmarkEnd w:id="70"/>
      <w:bookmarkEnd w:id="71"/>
    </w:p>
    <w:p w14:paraId="076E941F" w14:textId="77777777" w:rsidR="005D4EE3" w:rsidRPr="006C6C4F" w:rsidRDefault="00BC4342" w:rsidP="00BC4342">
      <w:pPr>
        <w:pStyle w:val="MMultilevel"/>
        <w:rPr>
          <w:lang w:val="en-GB"/>
        </w:rPr>
      </w:pPr>
      <w:bookmarkStart w:id="72" w:name="_Hlk517211902"/>
      <w:bookmarkStart w:id="73" w:name="_Hlk495949511"/>
      <w:r w:rsidRPr="006C6C4F">
        <w:rPr>
          <w:lang w:val="en-GB"/>
        </w:rPr>
        <w:t>There are no known state-mandated, commercial, scholarly or other independent studies</w:t>
      </w:r>
      <w:r w:rsidR="005D4EE3" w:rsidRPr="006C6C4F">
        <w:rPr>
          <w:lang w:val="en-GB"/>
        </w:rPr>
        <w:t>, statistics</w:t>
      </w:r>
      <w:r w:rsidRPr="006C6C4F">
        <w:rPr>
          <w:lang w:val="en-GB"/>
        </w:rPr>
        <w:t xml:space="preserve"> or </w:t>
      </w:r>
      <w:r w:rsidR="005D4EE3" w:rsidRPr="006C6C4F">
        <w:rPr>
          <w:lang w:val="en-GB"/>
        </w:rPr>
        <w:t xml:space="preserve">legal </w:t>
      </w:r>
      <w:r w:rsidRPr="006C6C4F">
        <w:rPr>
          <w:lang w:val="en-GB"/>
        </w:rPr>
        <w:t>monitoring mechanisms to evaluate the economic impact and financial revenues of investors who have been granted residence.</w:t>
      </w:r>
      <w:bookmarkEnd w:id="72"/>
      <w:r w:rsidR="00DC7B64" w:rsidRPr="00BE0DF6">
        <w:rPr>
          <w:rStyle w:val="FootnoteReference"/>
        </w:rPr>
        <w:footnoteReference w:id="215"/>
      </w:r>
      <w:r w:rsidRPr="006C6C4F">
        <w:rPr>
          <w:lang w:val="en-GB"/>
        </w:rPr>
        <w:t xml:space="preserve"> </w:t>
      </w:r>
    </w:p>
    <w:p w14:paraId="3835116D" w14:textId="77777777" w:rsidR="005D4EE3" w:rsidRPr="006C6C4F" w:rsidRDefault="005D4EE3" w:rsidP="00BC4342">
      <w:pPr>
        <w:pStyle w:val="MMultilevel"/>
        <w:rPr>
          <w:lang w:val="en-GB"/>
        </w:rPr>
      </w:pPr>
    </w:p>
    <w:p w14:paraId="66EA43DC" w14:textId="2DC29695" w:rsidR="00BC4342" w:rsidRDefault="005D6FC4" w:rsidP="00BC4342">
      <w:pPr>
        <w:pStyle w:val="MMultilevel"/>
        <w:rPr>
          <w:lang w:val="en-GB"/>
        </w:rPr>
      </w:pPr>
      <w:r w:rsidRPr="006C6C4F">
        <w:rPr>
          <w:lang w:val="en-GB"/>
        </w:rPr>
        <w:t>T</w:t>
      </w:r>
      <w:r w:rsidR="00BC4342" w:rsidRPr="006C6C4F">
        <w:rPr>
          <w:lang w:val="en-GB"/>
        </w:rPr>
        <w:t>he guidance on the Migration Department</w:t>
      </w:r>
      <w:r w:rsidR="00EE5134" w:rsidRPr="006C6C4F">
        <w:rPr>
          <w:lang w:val="en-GB"/>
        </w:rPr>
        <w:t>’s</w:t>
      </w:r>
      <w:r w:rsidR="00BC4342" w:rsidRPr="006C6C4F">
        <w:rPr>
          <w:lang w:val="en-GB"/>
        </w:rPr>
        <w:t xml:space="preserve"> website </w:t>
      </w:r>
      <w:r w:rsidR="00AE78BA">
        <w:rPr>
          <w:lang w:val="en-GB"/>
        </w:rPr>
        <w:t xml:space="preserve">suggests </w:t>
      </w:r>
      <w:r w:rsidR="00BC4342" w:rsidRPr="006C6C4F">
        <w:rPr>
          <w:lang w:val="en-GB"/>
        </w:rPr>
        <w:t>that most foreign investors are small</w:t>
      </w:r>
      <w:r w:rsidR="00EE5134" w:rsidRPr="006C6C4F">
        <w:rPr>
          <w:lang w:val="en-GB"/>
        </w:rPr>
        <w:t xml:space="preserve"> (</w:t>
      </w:r>
      <w:r w:rsidR="00BC4342" w:rsidRPr="006C6C4F">
        <w:rPr>
          <w:lang w:val="en-GB"/>
        </w:rPr>
        <w:t xml:space="preserve">there is no </w:t>
      </w:r>
      <w:r w:rsidR="00F32909" w:rsidRPr="006C6C4F">
        <w:rPr>
          <w:lang w:val="en-GB"/>
        </w:rPr>
        <w:t xml:space="preserve">online </w:t>
      </w:r>
      <w:r w:rsidR="00BC4342" w:rsidRPr="006C6C4F">
        <w:rPr>
          <w:lang w:val="en-GB"/>
        </w:rPr>
        <w:t xml:space="preserve">guidance </w:t>
      </w:r>
      <w:r w:rsidR="00660083">
        <w:rPr>
          <w:lang w:val="en-GB"/>
        </w:rPr>
        <w:t>on</w:t>
      </w:r>
      <w:r w:rsidR="00660083" w:rsidRPr="006C6C4F">
        <w:rPr>
          <w:lang w:val="en-GB"/>
        </w:rPr>
        <w:t xml:space="preserve"> </w:t>
      </w:r>
      <w:r w:rsidR="00660083">
        <w:rPr>
          <w:lang w:val="en-GB"/>
        </w:rPr>
        <w:t xml:space="preserve">TRP applications for </w:t>
      </w:r>
      <w:r w:rsidR="00BC4342" w:rsidRPr="006C6C4F">
        <w:rPr>
          <w:lang w:val="en-GB"/>
        </w:rPr>
        <w:t>medium investors</w:t>
      </w:r>
      <w:r w:rsidR="00EE5134" w:rsidRPr="006C6C4F">
        <w:rPr>
          <w:lang w:val="en-GB"/>
        </w:rPr>
        <w:t>)</w:t>
      </w:r>
      <w:r w:rsidRPr="006C6C4F">
        <w:rPr>
          <w:lang w:val="en-GB"/>
        </w:rPr>
        <w:t>.</w:t>
      </w:r>
      <w:r w:rsidR="00DC7B64" w:rsidRPr="00BE0DF6">
        <w:rPr>
          <w:rStyle w:val="FootnoteReference"/>
        </w:rPr>
        <w:footnoteReference w:id="216"/>
      </w:r>
      <w:r w:rsidRPr="006C6C4F">
        <w:rPr>
          <w:lang w:val="en-GB"/>
        </w:rPr>
        <w:t xml:space="preserve"> The stakeholder interviews confirm this, leading </w:t>
      </w:r>
      <w:r w:rsidR="00EE5134" w:rsidRPr="006C6C4F">
        <w:rPr>
          <w:lang w:val="en-GB"/>
        </w:rPr>
        <w:t xml:space="preserve">also </w:t>
      </w:r>
      <w:r w:rsidRPr="006C6C4F">
        <w:rPr>
          <w:lang w:val="en-GB"/>
        </w:rPr>
        <w:t>to assume that such business</w:t>
      </w:r>
      <w:r w:rsidR="005D4EE3" w:rsidRPr="006C6C4F">
        <w:rPr>
          <w:lang w:val="en-GB"/>
        </w:rPr>
        <w:t>es, due to their size and nature,</w:t>
      </w:r>
      <w:r w:rsidRPr="006C6C4F">
        <w:rPr>
          <w:lang w:val="en-GB"/>
        </w:rPr>
        <w:t xml:space="preserve"> are likely to have a minimal impact on the national economy.</w:t>
      </w:r>
      <w:r w:rsidRPr="00BE0DF6">
        <w:rPr>
          <w:rStyle w:val="FootnoteReference"/>
        </w:rPr>
        <w:footnoteReference w:id="217"/>
      </w:r>
    </w:p>
    <w:p w14:paraId="470D6528" w14:textId="7FE791BD" w:rsidR="00BE0DF6" w:rsidRDefault="00BE0DF6" w:rsidP="00BC4342">
      <w:pPr>
        <w:pStyle w:val="MMultilevel"/>
        <w:rPr>
          <w:lang w:val="en-GB"/>
        </w:rPr>
      </w:pPr>
    </w:p>
    <w:p w14:paraId="0C5EEE61" w14:textId="2E51C382" w:rsidR="00454485" w:rsidRDefault="00660083" w:rsidP="00BC4342">
      <w:pPr>
        <w:pStyle w:val="MMultilevel"/>
        <w:rPr>
          <w:lang w:val="en-GB"/>
        </w:rPr>
      </w:pPr>
      <w:r>
        <w:rPr>
          <w:lang w:val="en-GB"/>
        </w:rPr>
        <w:t xml:space="preserve">To give some illustration, there were </w:t>
      </w:r>
      <w:r w:rsidR="00BE0DF6" w:rsidRPr="00BE0DF6">
        <w:rPr>
          <w:lang w:val="en-GB"/>
        </w:rPr>
        <w:t>2</w:t>
      </w:r>
      <w:r w:rsidR="00DB093A">
        <w:rPr>
          <w:lang w:val="en-GB"/>
        </w:rPr>
        <w:t>,</w:t>
      </w:r>
      <w:r w:rsidR="00BE0DF6" w:rsidRPr="00BE0DF6">
        <w:rPr>
          <w:lang w:val="en-GB"/>
        </w:rPr>
        <w:t xml:space="preserve">240 successful applications </w:t>
      </w:r>
      <w:r w:rsidR="00151CFB">
        <w:rPr>
          <w:lang w:val="en-GB"/>
        </w:rPr>
        <w:t xml:space="preserve">of foreign </w:t>
      </w:r>
      <w:r w:rsidR="00AA1AF2">
        <w:rPr>
          <w:lang w:val="en-GB"/>
        </w:rPr>
        <w:t>investors</w:t>
      </w:r>
      <w:r>
        <w:rPr>
          <w:lang w:val="en-GB"/>
        </w:rPr>
        <w:t xml:space="preserve">, </w:t>
      </w:r>
      <w:r w:rsidR="00BE0DF6" w:rsidRPr="00BE0DF6">
        <w:rPr>
          <w:lang w:val="en-GB"/>
        </w:rPr>
        <w:t xml:space="preserve">listed in the table on data for the year 2016. </w:t>
      </w:r>
      <w:r w:rsidR="00AA1AF2">
        <w:rPr>
          <w:lang w:val="en-GB"/>
        </w:rPr>
        <w:t>G</w:t>
      </w:r>
      <w:r w:rsidR="00151CFB">
        <w:rPr>
          <w:lang w:val="en-GB"/>
        </w:rPr>
        <w:t>iven that small investors (</w:t>
      </w:r>
      <w:r>
        <w:t>with</w:t>
      </w:r>
      <w:r w:rsidR="00151CFB" w:rsidRPr="006C6C4F">
        <w:t xml:space="preserve"> the capital</w:t>
      </w:r>
      <w:r w:rsidR="00151CFB">
        <w:t>/assets</w:t>
      </w:r>
      <w:r w:rsidR="00151CFB" w:rsidRPr="006C6C4F">
        <w:t xml:space="preserve"> of at least</w:t>
      </w:r>
      <w:r w:rsidR="00151CFB">
        <w:t xml:space="preserve"> EUR</w:t>
      </w:r>
      <w:r w:rsidR="00151CFB" w:rsidRPr="006C6C4F">
        <w:t xml:space="preserve"> </w:t>
      </w:r>
      <w:r w:rsidR="003031AE">
        <w:t>14</w:t>
      </w:r>
      <w:r w:rsidR="00151CFB" w:rsidRPr="006C6C4F">
        <w:t>,000</w:t>
      </w:r>
      <w:r w:rsidR="00151CFB">
        <w:t xml:space="preserve">) </w:t>
      </w:r>
      <w:r w:rsidR="00151CFB">
        <w:rPr>
          <w:lang w:val="en-GB"/>
        </w:rPr>
        <w:t xml:space="preserve">are the most common type of foreign </w:t>
      </w:r>
      <w:r w:rsidR="00127048">
        <w:rPr>
          <w:lang w:val="en-GB"/>
        </w:rPr>
        <w:t xml:space="preserve">third-country </w:t>
      </w:r>
      <w:r w:rsidR="00151CFB">
        <w:rPr>
          <w:lang w:val="en-GB"/>
        </w:rPr>
        <w:t>investor,</w:t>
      </w:r>
      <w:r w:rsidR="00151CFB">
        <w:rPr>
          <w:rStyle w:val="FootnoteReference"/>
          <w:lang w:val="en-GB"/>
        </w:rPr>
        <w:footnoteReference w:id="218"/>
      </w:r>
      <w:r w:rsidR="00151CFB">
        <w:rPr>
          <w:lang w:val="en-GB"/>
        </w:rPr>
        <w:t xml:space="preserve"> </w:t>
      </w:r>
      <w:r w:rsidR="00DB093A">
        <w:rPr>
          <w:lang w:val="en-GB"/>
        </w:rPr>
        <w:t>it</w:t>
      </w:r>
      <w:r w:rsidR="00151CFB">
        <w:rPr>
          <w:lang w:val="en-GB"/>
        </w:rPr>
        <w:t xml:space="preserve"> could </w:t>
      </w:r>
      <w:r w:rsidR="00DB093A">
        <w:rPr>
          <w:lang w:val="en-GB"/>
        </w:rPr>
        <w:t xml:space="preserve">be </w:t>
      </w:r>
      <w:r w:rsidR="00127048">
        <w:rPr>
          <w:lang w:val="en-GB"/>
        </w:rPr>
        <w:t>estimate</w:t>
      </w:r>
      <w:r w:rsidR="00DB093A">
        <w:rPr>
          <w:lang w:val="en-GB"/>
        </w:rPr>
        <w:t>d</w:t>
      </w:r>
      <w:r w:rsidR="00151CFB">
        <w:rPr>
          <w:lang w:val="en-GB"/>
        </w:rPr>
        <w:t xml:space="preserve"> that the </w:t>
      </w:r>
      <w:r>
        <w:rPr>
          <w:lang w:val="en-GB"/>
        </w:rPr>
        <w:t xml:space="preserve">total </w:t>
      </w:r>
      <w:r w:rsidR="00151CFB">
        <w:rPr>
          <w:lang w:val="en-GB"/>
        </w:rPr>
        <w:t xml:space="preserve">volume of </w:t>
      </w:r>
      <w:r>
        <w:rPr>
          <w:lang w:val="en-GB"/>
        </w:rPr>
        <w:t xml:space="preserve">business </w:t>
      </w:r>
      <w:r w:rsidR="00151CFB">
        <w:rPr>
          <w:lang w:val="en-GB"/>
        </w:rPr>
        <w:t xml:space="preserve">investment </w:t>
      </w:r>
      <w:r>
        <w:rPr>
          <w:lang w:val="en-GB"/>
        </w:rPr>
        <w:t xml:space="preserve">in 2016 </w:t>
      </w:r>
      <w:r w:rsidR="00151CFB">
        <w:rPr>
          <w:lang w:val="en-GB"/>
        </w:rPr>
        <w:t xml:space="preserve">would equal to </w:t>
      </w:r>
      <w:r w:rsidR="00151CFB">
        <w:t>EUR</w:t>
      </w:r>
      <w:r w:rsidR="00151CFB">
        <w:rPr>
          <w:lang w:val="en-GB"/>
        </w:rPr>
        <w:t xml:space="preserve"> </w:t>
      </w:r>
      <w:r w:rsidR="003031AE">
        <w:rPr>
          <w:lang w:val="en-GB"/>
        </w:rPr>
        <w:t>31,360,000</w:t>
      </w:r>
      <w:r w:rsidR="00454485">
        <w:rPr>
          <w:lang w:val="en-GB"/>
        </w:rPr>
        <w:t>:</w:t>
      </w:r>
    </w:p>
    <w:p w14:paraId="5032D769" w14:textId="77777777" w:rsidR="00454485" w:rsidRDefault="00454485" w:rsidP="00BC4342">
      <w:pPr>
        <w:pStyle w:val="MMultilevel"/>
        <w:rPr>
          <w:lang w:val="en-GB"/>
        </w:rPr>
      </w:pPr>
    </w:p>
    <w:p w14:paraId="167D1FB3" w14:textId="74C7861B" w:rsidR="00151CFB" w:rsidRDefault="00454485" w:rsidP="00660083">
      <w:pPr>
        <w:pStyle w:val="MMultilevel"/>
        <w:ind w:firstLine="708"/>
        <w:rPr>
          <w:lang w:val="en-GB"/>
        </w:rPr>
      </w:pPr>
      <w:r w:rsidRPr="00BE0DF6">
        <w:rPr>
          <w:lang w:val="en-GB"/>
        </w:rPr>
        <w:t>2</w:t>
      </w:r>
      <w:r>
        <w:rPr>
          <w:lang w:val="en-GB"/>
        </w:rPr>
        <w:t xml:space="preserve"> </w:t>
      </w:r>
      <w:r w:rsidRPr="00BE0DF6">
        <w:rPr>
          <w:lang w:val="en-GB"/>
        </w:rPr>
        <w:t>240</w:t>
      </w:r>
      <w:r w:rsidR="00AA1AF2">
        <w:rPr>
          <w:lang w:val="en-GB"/>
        </w:rPr>
        <w:t xml:space="preserve"> (number of applications)</w:t>
      </w:r>
      <w:r w:rsidRPr="00BE0DF6">
        <w:rPr>
          <w:lang w:val="en-GB"/>
        </w:rPr>
        <w:t xml:space="preserve"> </w:t>
      </w:r>
      <w:r>
        <w:rPr>
          <w:lang w:val="en-GB"/>
        </w:rPr>
        <w:t xml:space="preserve">x </w:t>
      </w:r>
      <w:r>
        <w:t>EUR</w:t>
      </w:r>
      <w:r>
        <w:rPr>
          <w:lang w:val="en-GB"/>
        </w:rPr>
        <w:t xml:space="preserve"> </w:t>
      </w:r>
      <w:r w:rsidR="003031AE">
        <w:t>14,000 (minimum investment to be carried out by small investors)</w:t>
      </w:r>
      <w:r>
        <w:t xml:space="preserve"> = EUR</w:t>
      </w:r>
      <w:r>
        <w:rPr>
          <w:lang w:val="en-GB"/>
        </w:rPr>
        <w:t xml:space="preserve"> </w:t>
      </w:r>
      <w:r w:rsidR="003031AE">
        <w:rPr>
          <w:lang w:val="en-GB"/>
        </w:rPr>
        <w:t>31,360,000</w:t>
      </w:r>
      <w:r>
        <w:rPr>
          <w:lang w:val="en-GB"/>
        </w:rPr>
        <w:t xml:space="preserve"> </w:t>
      </w:r>
      <w:r>
        <w:t xml:space="preserve"> </w:t>
      </w:r>
      <w:r>
        <w:rPr>
          <w:lang w:val="en-GB"/>
        </w:rPr>
        <w:t xml:space="preserve"> </w:t>
      </w:r>
      <w:r w:rsidR="00151CFB">
        <w:rPr>
          <w:lang w:val="en-GB"/>
        </w:rPr>
        <w:t xml:space="preserve"> </w:t>
      </w:r>
    </w:p>
    <w:p w14:paraId="7B96449F" w14:textId="77777777" w:rsidR="00151CFB" w:rsidRDefault="00151CFB" w:rsidP="00BC4342">
      <w:pPr>
        <w:pStyle w:val="MMultilevel"/>
        <w:rPr>
          <w:lang w:val="en-GB"/>
        </w:rPr>
      </w:pPr>
    </w:p>
    <w:p w14:paraId="26E3EA5D" w14:textId="2570B9F0" w:rsidR="00454485" w:rsidRDefault="00151CFB" w:rsidP="00BC4342">
      <w:pPr>
        <w:pStyle w:val="MMultilevel"/>
        <w:rPr>
          <w:lang w:val="en-GB"/>
        </w:rPr>
      </w:pPr>
      <w:r>
        <w:rPr>
          <w:lang w:val="en-GB"/>
        </w:rPr>
        <w:t xml:space="preserve">At the same time, given that </w:t>
      </w:r>
      <w:r w:rsidR="00454485">
        <w:rPr>
          <w:lang w:val="en-GB"/>
        </w:rPr>
        <w:t xml:space="preserve">in 2017 there were 607 TRPs that were </w:t>
      </w:r>
      <w:r w:rsidR="00454485">
        <w:t>annulled</w:t>
      </w:r>
      <w:r w:rsidR="00454485" w:rsidRPr="006C6C4F">
        <w:t>/withdrawn</w:t>
      </w:r>
      <w:r w:rsidR="00454485">
        <w:t xml:space="preserve"> </w:t>
      </w:r>
      <w:r w:rsidR="00454485">
        <w:rPr>
          <w:lang w:val="en-GB"/>
        </w:rPr>
        <w:t xml:space="preserve">due to foreign-investor businesses being fictitious or due to the foreign investors being no longer able to satisfy the investment conditions on which their TRP was issued, the magnitude of the </w:t>
      </w:r>
      <w:r w:rsidR="00660083">
        <w:rPr>
          <w:lang w:val="en-GB"/>
        </w:rPr>
        <w:t xml:space="preserve">2016 </w:t>
      </w:r>
      <w:r w:rsidR="00454485">
        <w:rPr>
          <w:lang w:val="en-GB"/>
        </w:rPr>
        <w:t xml:space="preserve">overall economic impact would be reduced by EUR </w:t>
      </w:r>
      <w:r w:rsidR="003031AE" w:rsidRPr="003031AE">
        <w:rPr>
          <w:lang w:val="en-GB"/>
        </w:rPr>
        <w:t>8,498,000</w:t>
      </w:r>
      <w:r w:rsidR="00454485">
        <w:rPr>
          <w:lang w:val="en-GB"/>
        </w:rPr>
        <w:t>:</w:t>
      </w:r>
    </w:p>
    <w:p w14:paraId="6E03C736" w14:textId="3709634D" w:rsidR="00454485" w:rsidRDefault="00454485" w:rsidP="00BC4342">
      <w:pPr>
        <w:pStyle w:val="MMultilevel"/>
        <w:rPr>
          <w:lang w:val="en-GB"/>
        </w:rPr>
      </w:pPr>
    </w:p>
    <w:p w14:paraId="7E334AD9" w14:textId="3414E294" w:rsidR="00454485" w:rsidRDefault="00454485" w:rsidP="00660083">
      <w:pPr>
        <w:pStyle w:val="MMultilevel"/>
        <w:ind w:firstLine="708"/>
        <w:rPr>
          <w:lang w:val="en-GB"/>
        </w:rPr>
      </w:pPr>
      <w:r>
        <w:rPr>
          <w:lang w:val="en-GB"/>
        </w:rPr>
        <w:t xml:space="preserve">607 x EUR </w:t>
      </w:r>
      <w:r>
        <w:t>EUR</w:t>
      </w:r>
      <w:r>
        <w:rPr>
          <w:lang w:val="en-GB"/>
        </w:rPr>
        <w:t xml:space="preserve"> </w:t>
      </w:r>
      <w:r w:rsidR="003031AE">
        <w:t>14,000</w:t>
      </w:r>
      <w:r>
        <w:t xml:space="preserve"> = EUR </w:t>
      </w:r>
      <w:r w:rsidR="003031AE">
        <w:rPr>
          <w:lang w:val="en-GB"/>
        </w:rPr>
        <w:t>8,498,000</w:t>
      </w:r>
    </w:p>
    <w:p w14:paraId="26C8558E" w14:textId="77777777" w:rsidR="00454485" w:rsidRDefault="00454485" w:rsidP="00BC4342">
      <w:pPr>
        <w:pStyle w:val="MMultilevel"/>
        <w:rPr>
          <w:lang w:val="en-GB"/>
        </w:rPr>
      </w:pPr>
    </w:p>
    <w:p w14:paraId="12546B06" w14:textId="2E851702" w:rsidR="00454485" w:rsidRDefault="00454485" w:rsidP="00BC4342">
      <w:pPr>
        <w:pStyle w:val="MMultilevel"/>
        <w:rPr>
          <w:lang w:val="en-GB"/>
        </w:rPr>
      </w:pPr>
      <w:r>
        <w:rPr>
          <w:lang w:val="en-GB"/>
        </w:rPr>
        <w:t>Taken away from the successful application figures</w:t>
      </w:r>
      <w:r w:rsidR="00660083">
        <w:rPr>
          <w:lang w:val="en-GB"/>
        </w:rPr>
        <w:t xml:space="preserve"> of 2016</w:t>
      </w:r>
      <w:r>
        <w:rPr>
          <w:lang w:val="en-GB"/>
        </w:rPr>
        <w:t xml:space="preserve">, this </w:t>
      </w:r>
      <w:r w:rsidR="00CE54EF">
        <w:rPr>
          <w:lang w:val="en-GB"/>
        </w:rPr>
        <w:t xml:space="preserve">would result in </w:t>
      </w:r>
      <w:r>
        <w:rPr>
          <w:lang w:val="en-GB"/>
        </w:rPr>
        <w:t xml:space="preserve">the net figure of EUR </w:t>
      </w:r>
      <w:r w:rsidR="003031AE">
        <w:rPr>
          <w:lang w:val="en-GB"/>
        </w:rPr>
        <w:t>22,862,000</w:t>
      </w:r>
      <w:r>
        <w:rPr>
          <w:lang w:val="en-GB"/>
        </w:rPr>
        <w:t>:</w:t>
      </w:r>
    </w:p>
    <w:p w14:paraId="40C0BDA5" w14:textId="786BE506" w:rsidR="00454485" w:rsidRDefault="00454485" w:rsidP="00BC4342">
      <w:pPr>
        <w:pStyle w:val="MMultilevel"/>
        <w:rPr>
          <w:lang w:val="en-GB"/>
        </w:rPr>
      </w:pPr>
    </w:p>
    <w:p w14:paraId="5E3E09F8" w14:textId="732534FE" w:rsidR="00454485" w:rsidRDefault="00454485" w:rsidP="00660083">
      <w:pPr>
        <w:pStyle w:val="MMultilevel"/>
        <w:ind w:firstLine="708"/>
        <w:rPr>
          <w:lang w:val="en-GB"/>
        </w:rPr>
      </w:pPr>
      <w:r>
        <w:t>EUR</w:t>
      </w:r>
      <w:r>
        <w:rPr>
          <w:lang w:val="en-GB"/>
        </w:rPr>
        <w:t xml:space="preserve"> </w:t>
      </w:r>
      <w:r w:rsidR="003031AE">
        <w:rPr>
          <w:lang w:val="en-GB"/>
        </w:rPr>
        <w:t>31,360,000</w:t>
      </w:r>
      <w:r>
        <w:t xml:space="preserve"> </w:t>
      </w:r>
      <w:r>
        <w:rPr>
          <w:lang w:val="en-GB"/>
        </w:rPr>
        <w:t xml:space="preserve">- </w:t>
      </w:r>
      <w:r>
        <w:t xml:space="preserve">EUR </w:t>
      </w:r>
      <w:r w:rsidR="003031AE" w:rsidRPr="003031AE">
        <w:rPr>
          <w:lang w:val="en-GB"/>
        </w:rPr>
        <w:t>8,498,000</w:t>
      </w:r>
      <w:r>
        <w:rPr>
          <w:lang w:val="en-GB"/>
        </w:rPr>
        <w:t xml:space="preserve"> = EUR </w:t>
      </w:r>
      <w:r w:rsidR="003031AE">
        <w:rPr>
          <w:lang w:val="en-GB"/>
        </w:rPr>
        <w:t>22,862,000</w:t>
      </w:r>
    </w:p>
    <w:p w14:paraId="440874EC" w14:textId="77777777" w:rsidR="00454485" w:rsidRDefault="00454485" w:rsidP="00BC4342">
      <w:pPr>
        <w:pStyle w:val="MMultilevel"/>
        <w:rPr>
          <w:lang w:val="en-GB"/>
        </w:rPr>
      </w:pPr>
    </w:p>
    <w:p w14:paraId="02A551A9" w14:textId="756ED886" w:rsidR="00660083" w:rsidRPr="00660083" w:rsidRDefault="00660083" w:rsidP="003031AE">
      <w:pPr>
        <w:pStyle w:val="MMultilevel"/>
        <w:rPr>
          <w:lang w:val="en-GB"/>
        </w:rPr>
      </w:pPr>
      <w:r>
        <w:rPr>
          <w:lang w:val="en-GB"/>
        </w:rPr>
        <w:t xml:space="preserve">Given that </w:t>
      </w:r>
      <w:r w:rsidRPr="004C4CE9">
        <w:rPr>
          <w:lang w:val="en-GB"/>
        </w:rPr>
        <w:t xml:space="preserve">at the end of December 2016, </w:t>
      </w:r>
      <w:r w:rsidR="0087737A">
        <w:rPr>
          <w:lang w:val="en-GB"/>
        </w:rPr>
        <w:t xml:space="preserve">the </w:t>
      </w:r>
      <w:r w:rsidRPr="004C4CE9">
        <w:rPr>
          <w:lang w:val="en-GB"/>
        </w:rPr>
        <w:t>cumulative foreign direct investment</w:t>
      </w:r>
      <w:r w:rsidR="00F9360C">
        <w:rPr>
          <w:lang w:val="en-GB"/>
        </w:rPr>
        <w:t xml:space="preserve"> (FDI)</w:t>
      </w:r>
      <w:r w:rsidRPr="004C4CE9">
        <w:rPr>
          <w:lang w:val="en-GB"/>
        </w:rPr>
        <w:t xml:space="preserve"> in Lithuania amounted to EUR 13.1 billion,</w:t>
      </w:r>
      <w:r w:rsidRPr="004C4CE9">
        <w:rPr>
          <w:sz w:val="24"/>
          <w:szCs w:val="24"/>
          <w:lang w:val="en-GB"/>
        </w:rPr>
        <w:footnoteReference w:id="219"/>
      </w:r>
      <w:r w:rsidRPr="004C4CE9">
        <w:rPr>
          <w:vertAlign w:val="superscript"/>
          <w:lang w:val="en-GB"/>
        </w:rPr>
        <w:t xml:space="preserve"> </w:t>
      </w:r>
      <w:r>
        <w:rPr>
          <w:lang w:val="en-GB"/>
        </w:rPr>
        <w:t xml:space="preserve">the above numbers </w:t>
      </w:r>
      <w:r w:rsidR="00A222EA">
        <w:rPr>
          <w:lang w:val="en-GB"/>
        </w:rPr>
        <w:t>indicate</w:t>
      </w:r>
      <w:r>
        <w:rPr>
          <w:lang w:val="en-GB"/>
        </w:rPr>
        <w:t xml:space="preserve"> a small scale.</w:t>
      </w:r>
      <w:r w:rsidR="00F9360C">
        <w:rPr>
          <w:lang w:val="en-GB"/>
        </w:rPr>
        <w:t xml:space="preserve"> This </w:t>
      </w:r>
      <w:r w:rsidR="00A222EA" w:rsidRPr="00B346A9">
        <w:rPr>
          <w:lang w:val="en-GB"/>
        </w:rPr>
        <w:t>EUR 13.1 billion</w:t>
      </w:r>
      <w:r w:rsidR="00A222EA">
        <w:rPr>
          <w:lang w:val="en-GB"/>
        </w:rPr>
        <w:t xml:space="preserve"> </w:t>
      </w:r>
      <w:r w:rsidR="006D6813">
        <w:rPr>
          <w:lang w:val="en-GB"/>
        </w:rPr>
        <w:t xml:space="preserve">figure </w:t>
      </w:r>
      <w:r w:rsidR="00F9360C">
        <w:rPr>
          <w:lang w:val="en-GB"/>
        </w:rPr>
        <w:t>includes EU</w:t>
      </w:r>
      <w:r w:rsidR="00A222EA">
        <w:rPr>
          <w:lang w:val="en-GB"/>
        </w:rPr>
        <w:t>/EEA</w:t>
      </w:r>
      <w:r w:rsidR="00F9360C">
        <w:rPr>
          <w:lang w:val="en-GB"/>
        </w:rPr>
        <w:t xml:space="preserve"> foreign investors,</w:t>
      </w:r>
      <w:r w:rsidR="00F9360C">
        <w:rPr>
          <w:rStyle w:val="FootnoteReference"/>
          <w:lang w:val="en-GB"/>
        </w:rPr>
        <w:footnoteReference w:id="220"/>
      </w:r>
      <w:r w:rsidR="00F9360C">
        <w:rPr>
          <w:lang w:val="en-GB"/>
        </w:rPr>
        <w:t xml:space="preserve"> who hold </w:t>
      </w:r>
      <w:r w:rsidR="00A222EA">
        <w:rPr>
          <w:lang w:val="en-GB"/>
        </w:rPr>
        <w:t xml:space="preserve">the </w:t>
      </w:r>
      <w:r w:rsidR="00F9360C">
        <w:rPr>
          <w:lang w:val="en-GB"/>
        </w:rPr>
        <w:t>l</w:t>
      </w:r>
      <w:r w:rsidR="006D6813">
        <w:rPr>
          <w:lang w:val="en-GB"/>
        </w:rPr>
        <w:t>argest share of the overall FDI</w:t>
      </w:r>
      <w:r w:rsidR="00F9360C">
        <w:rPr>
          <w:lang w:val="en-GB"/>
        </w:rPr>
        <w:t>.</w:t>
      </w:r>
      <w:r w:rsidR="00A222EA">
        <w:rPr>
          <w:lang w:val="en-GB"/>
        </w:rPr>
        <w:t xml:space="preserve"> </w:t>
      </w:r>
      <w:r w:rsidR="00A222EA">
        <w:t>In contrast, most third-country national foreign investors who apply for TRPs under the LSSA, come from Belarus, Russia and Ukraine</w:t>
      </w:r>
      <w:r w:rsidR="00A222EA">
        <w:rPr>
          <w:rStyle w:val="FootnoteReference"/>
        </w:rPr>
        <w:footnoteReference w:id="221"/>
      </w:r>
      <w:r w:rsidR="006D6813">
        <w:t xml:space="preserve"> and their investments are often modest.</w:t>
      </w:r>
      <w:r w:rsidR="002312BB">
        <w:t xml:space="preserve"> </w:t>
      </w:r>
      <w:r w:rsidR="002312BB">
        <w:rPr>
          <w:lang w:val="en-GB"/>
        </w:rPr>
        <w:t xml:space="preserve">Given that most foreign investment </w:t>
      </w:r>
      <w:r w:rsidR="007A7975">
        <w:rPr>
          <w:lang w:val="en-GB"/>
        </w:rPr>
        <w:t>companies</w:t>
      </w:r>
      <w:r w:rsidR="002312BB">
        <w:rPr>
          <w:lang w:val="en-GB"/>
        </w:rPr>
        <w:t xml:space="preserve"> are small and that they </w:t>
      </w:r>
      <w:r w:rsidR="008779D1">
        <w:rPr>
          <w:lang w:val="en-GB"/>
        </w:rPr>
        <w:t>pushed</w:t>
      </w:r>
      <w:r w:rsidR="002312BB">
        <w:rPr>
          <w:lang w:val="en-GB"/>
        </w:rPr>
        <w:t xml:space="preserve"> </w:t>
      </w:r>
      <w:r w:rsidR="008779D1">
        <w:rPr>
          <w:lang w:val="en-GB"/>
        </w:rPr>
        <w:t xml:space="preserve">for </w:t>
      </w:r>
      <w:r w:rsidR="002312BB">
        <w:rPr>
          <w:lang w:val="en-GB"/>
        </w:rPr>
        <w:t xml:space="preserve">the minimum </w:t>
      </w:r>
      <w:r w:rsidR="006C1EA3">
        <w:rPr>
          <w:lang w:val="en-GB"/>
        </w:rPr>
        <w:t>full-time workers condition</w:t>
      </w:r>
      <w:r w:rsidR="002312BB">
        <w:rPr>
          <w:lang w:val="en-GB"/>
        </w:rPr>
        <w:t xml:space="preserve"> </w:t>
      </w:r>
      <w:r w:rsidR="008779D1">
        <w:rPr>
          <w:lang w:val="en-GB"/>
        </w:rPr>
        <w:t xml:space="preserve">to be reduced </w:t>
      </w:r>
      <w:r w:rsidR="002312BB">
        <w:rPr>
          <w:lang w:val="en-GB"/>
        </w:rPr>
        <w:t>to one in 201</w:t>
      </w:r>
      <w:r w:rsidR="008779D1">
        <w:rPr>
          <w:lang w:val="en-GB"/>
        </w:rPr>
        <w:t>7</w:t>
      </w:r>
      <w:r w:rsidR="002312BB">
        <w:rPr>
          <w:lang w:val="en-GB"/>
        </w:rPr>
        <w:t>,</w:t>
      </w:r>
      <w:r w:rsidR="006C1EA3">
        <w:rPr>
          <w:rStyle w:val="FootnoteReference"/>
          <w:lang w:val="en-GB"/>
        </w:rPr>
        <w:footnoteReference w:id="222"/>
      </w:r>
      <w:r w:rsidR="002312BB">
        <w:rPr>
          <w:lang w:val="en-GB"/>
        </w:rPr>
        <w:t xml:space="preserve"> their </w:t>
      </w:r>
      <w:r w:rsidR="002312BB" w:rsidRPr="00595055">
        <w:rPr>
          <w:lang w:val="en-GB"/>
        </w:rPr>
        <w:t>job creation</w:t>
      </w:r>
      <w:r w:rsidR="002312BB">
        <w:rPr>
          <w:lang w:val="en-GB"/>
        </w:rPr>
        <w:t xml:space="preserve"> potential is not high, either.</w:t>
      </w:r>
    </w:p>
    <w:p w14:paraId="443A30C7" w14:textId="77777777" w:rsidR="00B311A7" w:rsidRPr="006C6C4F" w:rsidRDefault="00B311A7" w:rsidP="00613C2F">
      <w:pPr>
        <w:pStyle w:val="MH1nonumb"/>
        <w:numPr>
          <w:ilvl w:val="0"/>
          <w:numId w:val="10"/>
        </w:numPr>
        <w:ind w:left="426" w:hanging="284"/>
      </w:pPr>
      <w:bookmarkStart w:id="74" w:name="_Toc496025542"/>
      <w:bookmarkStart w:id="75" w:name="_Toc522130168"/>
      <w:bookmarkStart w:id="76" w:name="_Hlk496124741"/>
      <w:bookmarkEnd w:id="73"/>
      <w:r w:rsidRPr="006C6C4F">
        <w:lastRenderedPageBreak/>
        <w:t>OTHER COMMENTS</w:t>
      </w:r>
      <w:bookmarkEnd w:id="74"/>
      <w:bookmarkEnd w:id="75"/>
    </w:p>
    <w:bookmarkEnd w:id="76"/>
    <w:p w14:paraId="076E24AD" w14:textId="58D22B52" w:rsidR="00405C49" w:rsidRPr="00AE78BA" w:rsidRDefault="004E62E2" w:rsidP="00AE78BA">
      <w:pPr>
        <w:pStyle w:val="MBT"/>
        <w:rPr>
          <w:rFonts w:eastAsia="MinionPro-Regular"/>
          <w:lang w:val="en-GB" w:eastAsia="en-GB"/>
        </w:rPr>
      </w:pPr>
      <w:r w:rsidRPr="00AE78BA">
        <w:rPr>
          <w:rFonts w:eastAsia="MinionPro-Regular"/>
          <w:lang w:val="en-GB" w:eastAsia="en-GB"/>
        </w:rPr>
        <w:t>T</w:t>
      </w:r>
      <w:r w:rsidR="00405C49" w:rsidRPr="00AE78BA">
        <w:rPr>
          <w:rFonts w:eastAsia="MinionPro-Regular"/>
          <w:lang w:val="en-GB" w:eastAsia="en-GB"/>
        </w:rPr>
        <w:t>here is</w:t>
      </w:r>
      <w:r w:rsidRPr="00AE78BA">
        <w:rPr>
          <w:rFonts w:eastAsia="MinionPro-Regular"/>
          <w:lang w:val="en-GB" w:eastAsia="en-GB"/>
        </w:rPr>
        <w:t xml:space="preserve"> currently</w:t>
      </w:r>
      <w:r w:rsidR="00405C49" w:rsidRPr="00AE78BA">
        <w:rPr>
          <w:rFonts w:eastAsia="MinionPro-Regular"/>
          <w:lang w:val="en-GB" w:eastAsia="en-GB"/>
        </w:rPr>
        <w:t xml:space="preserve"> no clear economic migration policy to attract foreign investors</w:t>
      </w:r>
      <w:r w:rsidR="00D23C7A" w:rsidRPr="00AE78BA">
        <w:rPr>
          <w:rFonts w:eastAsia="MinionPro-Regular"/>
          <w:lang w:val="en-GB" w:eastAsia="en-GB"/>
        </w:rPr>
        <w:t xml:space="preserve"> to Lithuania</w:t>
      </w:r>
      <w:r w:rsidR="00405C49" w:rsidRPr="00AE78BA">
        <w:rPr>
          <w:rFonts w:eastAsia="MinionPro-Regular"/>
          <w:lang w:val="en-GB" w:eastAsia="en-GB"/>
        </w:rPr>
        <w:t xml:space="preserve">, especially </w:t>
      </w:r>
      <w:r w:rsidR="0016622E" w:rsidRPr="00AE78BA">
        <w:rPr>
          <w:rFonts w:eastAsia="MinionPro-Regular"/>
          <w:lang w:val="en-GB" w:eastAsia="en-GB"/>
        </w:rPr>
        <w:t xml:space="preserve">the </w:t>
      </w:r>
      <w:r w:rsidR="00405C49" w:rsidRPr="00AE78BA">
        <w:rPr>
          <w:rFonts w:eastAsia="MinionPro-Regular"/>
          <w:lang w:val="en-GB" w:eastAsia="en-GB"/>
        </w:rPr>
        <w:t xml:space="preserve">highly-skilled workers, hence </w:t>
      </w:r>
      <w:r w:rsidR="0016622E" w:rsidRPr="00AE78BA">
        <w:rPr>
          <w:rFonts w:eastAsia="MinionPro-Regular"/>
          <w:lang w:val="en-GB" w:eastAsia="en-GB"/>
        </w:rPr>
        <w:t>the</w:t>
      </w:r>
      <w:r w:rsidR="00405C49" w:rsidRPr="00AE78BA">
        <w:rPr>
          <w:rFonts w:eastAsia="MinionPro-Regular"/>
          <w:lang w:val="en-GB" w:eastAsia="en-GB"/>
        </w:rPr>
        <w:t xml:space="preserve"> effort</w:t>
      </w:r>
      <w:r w:rsidR="0016622E" w:rsidRPr="00AE78BA">
        <w:rPr>
          <w:rFonts w:eastAsia="MinionPro-Regular"/>
          <w:lang w:val="en-GB" w:eastAsia="en-GB"/>
        </w:rPr>
        <w:t>s</w:t>
      </w:r>
      <w:r w:rsidR="00405C49" w:rsidRPr="00AE78BA">
        <w:rPr>
          <w:rFonts w:eastAsia="MinionPro-Regular"/>
          <w:lang w:val="en-GB" w:eastAsia="en-GB"/>
        </w:rPr>
        <w:t xml:space="preserve"> of </w:t>
      </w:r>
      <w:r w:rsidR="0016622E" w:rsidRPr="00AE78BA">
        <w:rPr>
          <w:rFonts w:eastAsia="MinionPro-Regular"/>
          <w:lang w:val="en-GB" w:eastAsia="en-GB"/>
        </w:rPr>
        <w:t xml:space="preserve">the </w:t>
      </w:r>
      <w:r w:rsidR="00405C49" w:rsidRPr="00AE78BA">
        <w:rPr>
          <w:rFonts w:eastAsia="MinionPro-Regular"/>
          <w:lang w:val="en-GB" w:eastAsia="en-GB"/>
        </w:rPr>
        <w:t xml:space="preserve">Lithuanian institutions </w:t>
      </w:r>
      <w:r w:rsidR="0016622E" w:rsidRPr="00AE78BA">
        <w:rPr>
          <w:rFonts w:eastAsia="MinionPro-Regular"/>
          <w:lang w:val="en-GB" w:eastAsia="en-GB"/>
        </w:rPr>
        <w:t>are</w:t>
      </w:r>
      <w:r w:rsidR="00405C49" w:rsidRPr="00AE78BA">
        <w:rPr>
          <w:rFonts w:eastAsia="MinionPro-Regular"/>
          <w:lang w:val="en-GB" w:eastAsia="en-GB"/>
        </w:rPr>
        <w:t xml:space="preserve"> concentrated on the security dimension, especially due to the terrorism threat that became more prominent during 2012-2017.</w:t>
      </w:r>
      <w:r w:rsidR="00AA1BF8" w:rsidRPr="004C4CE9">
        <w:rPr>
          <w:rStyle w:val="FootnoteReference"/>
          <w:rFonts w:eastAsia="MinionPro-Regular"/>
        </w:rPr>
        <w:footnoteReference w:id="223"/>
      </w:r>
    </w:p>
    <w:p w14:paraId="2781C748" w14:textId="77777777" w:rsidR="00405C49" w:rsidRPr="00AE78BA" w:rsidRDefault="00405C49" w:rsidP="00AE78BA">
      <w:pPr>
        <w:pStyle w:val="MBT"/>
        <w:rPr>
          <w:lang w:val="en-GB"/>
        </w:rPr>
      </w:pPr>
    </w:p>
    <w:p w14:paraId="38C6E51B" w14:textId="22E1183F" w:rsidR="00B311A7" w:rsidRPr="00AE78BA" w:rsidRDefault="00214182" w:rsidP="00AE78BA">
      <w:pPr>
        <w:pStyle w:val="CommentText"/>
        <w:jc w:val="both"/>
        <w:rPr>
          <w:rFonts w:eastAsia="MinionPro-Regular"/>
          <w:sz w:val="22"/>
          <w:szCs w:val="22"/>
          <w:lang w:eastAsia="en-GB"/>
        </w:rPr>
      </w:pPr>
      <w:r w:rsidRPr="00AE78BA">
        <w:rPr>
          <w:sz w:val="22"/>
          <w:szCs w:val="22"/>
        </w:rPr>
        <w:t xml:space="preserve">In 2015, research found that foreign investment </w:t>
      </w:r>
      <w:r w:rsidR="009075E7" w:rsidRPr="00AE78BA">
        <w:rPr>
          <w:sz w:val="22"/>
          <w:szCs w:val="22"/>
        </w:rPr>
        <w:t>was</w:t>
      </w:r>
      <w:r w:rsidRPr="00AE78BA">
        <w:rPr>
          <w:sz w:val="22"/>
          <w:szCs w:val="22"/>
        </w:rPr>
        <w:t xml:space="preserve"> more difficult to attract due to </w:t>
      </w:r>
      <w:r w:rsidR="00146AF1" w:rsidRPr="00AE78BA">
        <w:rPr>
          <w:sz w:val="22"/>
          <w:szCs w:val="22"/>
        </w:rPr>
        <w:t xml:space="preserve">the </w:t>
      </w:r>
      <w:r w:rsidRPr="00AE78BA">
        <w:rPr>
          <w:sz w:val="22"/>
          <w:szCs w:val="22"/>
        </w:rPr>
        <w:t xml:space="preserve">bureaucracy, </w:t>
      </w:r>
      <w:r w:rsidR="0016622E" w:rsidRPr="00AE78BA">
        <w:rPr>
          <w:sz w:val="22"/>
          <w:szCs w:val="22"/>
        </w:rPr>
        <w:t xml:space="preserve">civil servants’ </w:t>
      </w:r>
      <w:r w:rsidRPr="00AE78BA">
        <w:rPr>
          <w:sz w:val="22"/>
          <w:szCs w:val="22"/>
        </w:rPr>
        <w:t xml:space="preserve">lack of flexibility and </w:t>
      </w:r>
      <w:r w:rsidR="0016622E" w:rsidRPr="00AE78BA">
        <w:rPr>
          <w:sz w:val="22"/>
          <w:szCs w:val="22"/>
        </w:rPr>
        <w:t>in</w:t>
      </w:r>
      <w:r w:rsidRPr="00AE78BA">
        <w:rPr>
          <w:sz w:val="22"/>
          <w:szCs w:val="22"/>
        </w:rPr>
        <w:t>ability to speak foreign languages, time-consuming procedures and old technological infrastructure.</w:t>
      </w:r>
      <w:r w:rsidRPr="004C4CE9">
        <w:rPr>
          <w:rStyle w:val="FootnoteReference"/>
          <w:rFonts w:eastAsia="MinionPro-Regular"/>
        </w:rPr>
        <w:footnoteReference w:id="224"/>
      </w:r>
      <w:r w:rsidRPr="00AE78BA">
        <w:rPr>
          <w:rFonts w:eastAsia="MinionPro-Regular"/>
          <w:sz w:val="22"/>
          <w:szCs w:val="22"/>
          <w:lang w:eastAsia="en-GB"/>
        </w:rPr>
        <w:t xml:space="preserve"> There </w:t>
      </w:r>
      <w:r w:rsidR="009075E7" w:rsidRPr="00AE78BA">
        <w:rPr>
          <w:rFonts w:eastAsia="MinionPro-Regular"/>
          <w:sz w:val="22"/>
          <w:szCs w:val="22"/>
          <w:lang w:eastAsia="en-GB"/>
        </w:rPr>
        <w:t>was</w:t>
      </w:r>
      <w:r w:rsidRPr="00AE78BA">
        <w:rPr>
          <w:rFonts w:eastAsia="MinionPro-Regular"/>
          <w:sz w:val="22"/>
          <w:szCs w:val="22"/>
          <w:lang w:eastAsia="en-GB"/>
        </w:rPr>
        <w:t xml:space="preserve"> also a problem of </w:t>
      </w:r>
      <w:r w:rsidR="00AE78BA" w:rsidRPr="00AE78BA">
        <w:rPr>
          <w:rFonts w:eastAsia="MinionPro-Regular"/>
          <w:sz w:val="22"/>
          <w:szCs w:val="22"/>
          <w:lang w:eastAsia="en-GB"/>
        </w:rPr>
        <w:t xml:space="preserve">a lack of </w:t>
      </w:r>
      <w:r w:rsidRPr="00AE78BA">
        <w:rPr>
          <w:rFonts w:eastAsia="MinionPro-Regular"/>
          <w:sz w:val="22"/>
          <w:szCs w:val="22"/>
          <w:lang w:eastAsia="en-GB"/>
        </w:rPr>
        <w:t>cultural and ethnic tolerance</w:t>
      </w:r>
      <w:r w:rsidR="00AE78BA" w:rsidRPr="00AE78BA">
        <w:rPr>
          <w:rFonts w:eastAsia="MinionPro-Regular"/>
          <w:sz w:val="22"/>
          <w:szCs w:val="22"/>
          <w:lang w:eastAsia="en-GB"/>
        </w:rPr>
        <w:t xml:space="preserve"> </w:t>
      </w:r>
      <w:r w:rsidR="00AE78BA" w:rsidRPr="00AE78BA">
        <w:rPr>
          <w:sz w:val="22"/>
          <w:szCs w:val="22"/>
        </w:rPr>
        <w:t>from the migration officers assessing TRP applications, but also more generally from the public institutions and society as a whole.</w:t>
      </w:r>
      <w:r w:rsidR="00AE78BA" w:rsidRPr="00AE78BA">
        <w:rPr>
          <w:rStyle w:val="FootnoteReference"/>
          <w:rFonts w:eastAsia="MinionPro-Regular"/>
          <w:sz w:val="22"/>
          <w:szCs w:val="22"/>
          <w:lang w:eastAsia="en-GB"/>
        </w:rPr>
        <w:t xml:space="preserve"> </w:t>
      </w:r>
      <w:r w:rsidRPr="004C4CE9">
        <w:rPr>
          <w:rStyle w:val="FootnoteReference"/>
          <w:rFonts w:eastAsia="MinionPro-Regular"/>
        </w:rPr>
        <w:footnoteReference w:id="225"/>
      </w:r>
      <w:r w:rsidRPr="00AE78BA">
        <w:rPr>
          <w:rFonts w:eastAsia="MinionPro-Regular"/>
          <w:sz w:val="22"/>
          <w:szCs w:val="22"/>
          <w:lang w:eastAsia="en-GB"/>
        </w:rPr>
        <w:t xml:space="preserve"> </w:t>
      </w:r>
      <w:r w:rsidR="00AE78BA" w:rsidRPr="00AE78BA">
        <w:rPr>
          <w:rFonts w:eastAsia="MinionPro-Regular"/>
          <w:sz w:val="22"/>
          <w:szCs w:val="22"/>
          <w:lang w:eastAsia="en-GB"/>
        </w:rPr>
        <w:t xml:space="preserve">There are </w:t>
      </w:r>
      <w:r w:rsidRPr="00AE78BA">
        <w:rPr>
          <w:rFonts w:eastAsia="MinionPro-Regular"/>
          <w:sz w:val="22"/>
          <w:szCs w:val="22"/>
          <w:lang w:eastAsia="en-GB"/>
        </w:rPr>
        <w:t>very differ</w:t>
      </w:r>
      <w:r w:rsidR="0016622E" w:rsidRPr="00AE78BA">
        <w:rPr>
          <w:rFonts w:eastAsia="MinionPro-Regular"/>
          <w:sz w:val="22"/>
          <w:szCs w:val="22"/>
          <w:lang w:eastAsia="en-GB"/>
        </w:rPr>
        <w:t xml:space="preserve">ent interpretations of the law </w:t>
      </w:r>
      <w:r w:rsidR="009075E7" w:rsidRPr="00AE78BA">
        <w:rPr>
          <w:rFonts w:eastAsia="MinionPro-Regular"/>
          <w:sz w:val="22"/>
          <w:szCs w:val="22"/>
          <w:lang w:eastAsia="en-GB"/>
        </w:rPr>
        <w:t xml:space="preserve">by migration officers </w:t>
      </w:r>
      <w:r w:rsidR="0016622E" w:rsidRPr="00AE78BA">
        <w:rPr>
          <w:rFonts w:eastAsia="MinionPro-Regular"/>
          <w:sz w:val="22"/>
          <w:szCs w:val="22"/>
          <w:lang w:eastAsia="en-GB"/>
        </w:rPr>
        <w:t xml:space="preserve">that </w:t>
      </w:r>
      <w:r w:rsidR="00A66B39" w:rsidRPr="00AE78BA">
        <w:rPr>
          <w:rFonts w:eastAsia="MinionPro-Regular"/>
          <w:sz w:val="22"/>
          <w:szCs w:val="22"/>
          <w:lang w:eastAsia="en-GB"/>
        </w:rPr>
        <w:t>as a</w:t>
      </w:r>
      <w:r w:rsidR="00146AF1" w:rsidRPr="00AE78BA">
        <w:rPr>
          <w:rFonts w:eastAsia="MinionPro-Regular"/>
          <w:sz w:val="22"/>
          <w:szCs w:val="22"/>
          <w:lang w:eastAsia="en-GB"/>
        </w:rPr>
        <w:t xml:space="preserve"> result </w:t>
      </w:r>
      <w:r w:rsidR="0016622E" w:rsidRPr="00AE78BA">
        <w:rPr>
          <w:rFonts w:eastAsia="MinionPro-Regular"/>
          <w:sz w:val="22"/>
          <w:szCs w:val="22"/>
          <w:lang w:eastAsia="en-GB"/>
        </w:rPr>
        <w:t xml:space="preserve">may require foreign investors </w:t>
      </w:r>
      <w:r w:rsidRPr="00AE78BA">
        <w:rPr>
          <w:rFonts w:eastAsia="MinionPro-Regular"/>
          <w:sz w:val="22"/>
          <w:szCs w:val="22"/>
          <w:lang w:eastAsia="en-GB"/>
        </w:rPr>
        <w:t>to supply additional documents not listed in the legislation.</w:t>
      </w:r>
      <w:r w:rsidRPr="004C4CE9">
        <w:rPr>
          <w:rStyle w:val="FootnoteReference"/>
          <w:rFonts w:eastAsia="MinionPro-Regular"/>
        </w:rPr>
        <w:footnoteReference w:id="226"/>
      </w:r>
      <w:r w:rsidR="0062490F">
        <w:rPr>
          <w:rFonts w:eastAsia="MinionPro-Regular"/>
          <w:sz w:val="22"/>
          <w:szCs w:val="22"/>
          <w:lang w:eastAsia="en-GB"/>
        </w:rPr>
        <w:t xml:space="preserve"> Although the decisions of the migration officers can be appealed (see Section II.1 of this Report), no information was retrieved on such appeals.</w:t>
      </w:r>
      <w:r w:rsidR="0062490F" w:rsidRPr="004C4CE9">
        <w:rPr>
          <w:rStyle w:val="FootnoteReference"/>
          <w:rFonts w:eastAsia="MinionPro-Regular"/>
        </w:rPr>
        <w:footnoteReference w:id="227"/>
      </w:r>
      <w:r w:rsidR="00AE78BA" w:rsidRPr="00AE78BA">
        <w:rPr>
          <w:sz w:val="22"/>
          <w:szCs w:val="22"/>
        </w:rPr>
        <w:t xml:space="preserve"> </w:t>
      </w:r>
      <w:r w:rsidR="00AE78BA">
        <w:rPr>
          <w:sz w:val="22"/>
          <w:szCs w:val="22"/>
        </w:rPr>
        <w:t>R</w:t>
      </w:r>
      <w:r w:rsidR="00AE78BA" w:rsidRPr="00AE78BA">
        <w:rPr>
          <w:sz w:val="22"/>
          <w:szCs w:val="22"/>
        </w:rPr>
        <w:t xml:space="preserve">esearch </w:t>
      </w:r>
      <w:r w:rsidR="00AE78BA">
        <w:rPr>
          <w:sz w:val="22"/>
          <w:szCs w:val="22"/>
        </w:rPr>
        <w:t>suggested</w:t>
      </w:r>
      <w:r w:rsidR="00AE78BA" w:rsidRPr="00AE78BA">
        <w:rPr>
          <w:sz w:val="22"/>
          <w:szCs w:val="22"/>
        </w:rPr>
        <w:t xml:space="preserve"> that the government should introduce and implement long-term strategic educational programmes to enhance tolerance</w:t>
      </w:r>
      <w:r w:rsidR="00AE78BA">
        <w:rPr>
          <w:sz w:val="22"/>
          <w:szCs w:val="22"/>
        </w:rPr>
        <w:t>, which would support</w:t>
      </w:r>
      <w:r w:rsidR="00AE78BA" w:rsidRPr="00F010C8">
        <w:rPr>
          <w:sz w:val="22"/>
          <w:szCs w:val="22"/>
        </w:rPr>
        <w:t xml:space="preserve"> foreign businesses invest</w:t>
      </w:r>
      <w:r w:rsidR="00AE78BA">
        <w:rPr>
          <w:sz w:val="22"/>
          <w:szCs w:val="22"/>
        </w:rPr>
        <w:t>ment</w:t>
      </w:r>
      <w:r w:rsidR="00AE78BA" w:rsidRPr="00F010C8">
        <w:rPr>
          <w:sz w:val="22"/>
          <w:szCs w:val="22"/>
        </w:rPr>
        <w:t xml:space="preserve"> in Lithuania</w:t>
      </w:r>
      <w:r w:rsidR="00AE78BA">
        <w:rPr>
          <w:sz w:val="22"/>
          <w:szCs w:val="22"/>
        </w:rPr>
        <w:t>.</w:t>
      </w:r>
      <w:r w:rsidR="00AE78BA" w:rsidRPr="00AE78BA">
        <w:rPr>
          <w:rStyle w:val="FootnoteReference"/>
          <w:rFonts w:eastAsia="MinionPro-Regular"/>
          <w:sz w:val="22"/>
          <w:szCs w:val="22"/>
          <w:lang w:eastAsia="en-GB"/>
        </w:rPr>
        <w:t xml:space="preserve"> </w:t>
      </w:r>
      <w:r w:rsidR="00AE78BA" w:rsidRPr="004C4CE9">
        <w:rPr>
          <w:rStyle w:val="FootnoteReference"/>
          <w:rFonts w:eastAsia="MinionPro-Regular"/>
        </w:rPr>
        <w:footnoteReference w:id="228"/>
      </w:r>
    </w:p>
    <w:p w14:paraId="41500F61" w14:textId="77777777" w:rsidR="00405C49" w:rsidRPr="00AE78BA" w:rsidRDefault="00405C49" w:rsidP="00AE78BA">
      <w:pPr>
        <w:pStyle w:val="MBT"/>
        <w:rPr>
          <w:rFonts w:eastAsia="MinionPro-Regular"/>
          <w:lang w:val="en-GB" w:eastAsia="en-GB"/>
        </w:rPr>
      </w:pPr>
    </w:p>
    <w:p w14:paraId="0E8EA628" w14:textId="1C77C515" w:rsidR="00FD3DA5" w:rsidRDefault="00405C49" w:rsidP="00AE78BA">
      <w:pPr>
        <w:pStyle w:val="MBT"/>
      </w:pPr>
      <w:r w:rsidRPr="00AE78BA">
        <w:rPr>
          <w:rFonts w:eastAsia="MinionPro-Regular"/>
          <w:lang w:val="en-GB" w:eastAsia="en-GB"/>
        </w:rPr>
        <w:t>Some of these concerns</w:t>
      </w:r>
      <w:r w:rsidR="00AB3578" w:rsidRPr="00AE78BA">
        <w:rPr>
          <w:rFonts w:eastAsia="MinionPro-Regular"/>
          <w:lang w:val="en-GB" w:eastAsia="en-GB"/>
        </w:rPr>
        <w:t xml:space="preserve"> are currently being addressed</w:t>
      </w:r>
      <w:r w:rsidRPr="00AE78BA">
        <w:rPr>
          <w:rFonts w:eastAsia="MinionPro-Regular"/>
          <w:lang w:val="en-GB" w:eastAsia="en-GB"/>
        </w:rPr>
        <w:t>.</w:t>
      </w:r>
      <w:r w:rsidR="00AA1BF8" w:rsidRPr="00AE78BA">
        <w:rPr>
          <w:rFonts w:eastAsia="MinionPro-Regular"/>
          <w:lang w:val="en-GB" w:eastAsia="en-GB"/>
        </w:rPr>
        <w:t xml:space="preserve"> </w:t>
      </w:r>
      <w:r w:rsidR="00CA73E1" w:rsidRPr="00AE78BA">
        <w:rPr>
          <w:rFonts w:eastAsia="MinionPro-Regular"/>
          <w:lang w:val="en-GB" w:eastAsia="en-GB"/>
        </w:rPr>
        <w:t xml:space="preserve">For example, </w:t>
      </w:r>
      <w:r w:rsidR="00CA73E1" w:rsidRPr="00AE78BA">
        <w:rPr>
          <w:lang w:val="en-GB"/>
        </w:rPr>
        <w:t>there is a</w:t>
      </w:r>
      <w:r w:rsidR="009075E7" w:rsidRPr="00AE78BA">
        <w:rPr>
          <w:lang w:val="en-GB"/>
        </w:rPr>
        <w:t xml:space="preserve"> government</w:t>
      </w:r>
      <w:r w:rsidR="00CA73E1" w:rsidRPr="00AE78BA">
        <w:rPr>
          <w:lang w:val="en-GB"/>
        </w:rPr>
        <w:t xml:space="preserve"> proposal to </w:t>
      </w:r>
      <w:r w:rsidR="009075E7" w:rsidRPr="00AE78BA">
        <w:rPr>
          <w:lang w:val="en-GB"/>
        </w:rPr>
        <w:t>reorganise</w:t>
      </w:r>
      <w:r w:rsidR="00CA73E1" w:rsidRPr="00AE78BA">
        <w:rPr>
          <w:lang w:val="en-GB"/>
        </w:rPr>
        <w:t xml:space="preserve"> </w:t>
      </w:r>
      <w:r w:rsidR="009075E7" w:rsidRPr="00AE78BA">
        <w:rPr>
          <w:lang w:val="en-GB"/>
        </w:rPr>
        <w:t xml:space="preserve">the </w:t>
      </w:r>
      <w:r w:rsidR="00CA73E1" w:rsidRPr="00AE78BA">
        <w:rPr>
          <w:lang w:val="en-GB"/>
        </w:rPr>
        <w:t xml:space="preserve">migration administration </w:t>
      </w:r>
      <w:r w:rsidR="009075E7" w:rsidRPr="00AE78BA">
        <w:rPr>
          <w:lang w:val="en-GB"/>
        </w:rPr>
        <w:t xml:space="preserve">system </w:t>
      </w:r>
      <w:r w:rsidR="00CA73E1" w:rsidRPr="00AE78BA">
        <w:rPr>
          <w:lang w:val="en-GB"/>
        </w:rPr>
        <w:t xml:space="preserve">in Lithuania, </w:t>
      </w:r>
      <w:r w:rsidR="009075E7" w:rsidRPr="00AE78BA">
        <w:rPr>
          <w:lang w:val="en-GB"/>
        </w:rPr>
        <w:t xml:space="preserve">leaving </w:t>
      </w:r>
      <w:r w:rsidR="00CA73E1" w:rsidRPr="00AE78BA">
        <w:rPr>
          <w:lang w:val="en-GB"/>
        </w:rPr>
        <w:t xml:space="preserve">one central office (the Migration Department) and </w:t>
      </w:r>
      <w:r w:rsidR="009075E7" w:rsidRPr="00AE78BA">
        <w:rPr>
          <w:lang w:val="en-GB"/>
        </w:rPr>
        <w:t>10</w:t>
      </w:r>
      <w:r w:rsidR="00CA73E1" w:rsidRPr="00AE78BA">
        <w:rPr>
          <w:lang w:val="en-GB"/>
        </w:rPr>
        <w:t xml:space="preserve"> </w:t>
      </w:r>
      <w:r w:rsidR="009075E7" w:rsidRPr="00AE78BA">
        <w:rPr>
          <w:lang w:val="en-GB"/>
        </w:rPr>
        <w:t>regional offices; this is</w:t>
      </w:r>
      <w:r w:rsidR="00CA73E1" w:rsidRPr="00AE78BA">
        <w:rPr>
          <w:lang w:val="en-GB"/>
        </w:rPr>
        <w:t xml:space="preserve"> proposed to be in place by January 2019.</w:t>
      </w:r>
      <w:r w:rsidR="00CA73E1" w:rsidRPr="004C4CE9">
        <w:rPr>
          <w:rStyle w:val="FootnoteReference"/>
        </w:rPr>
        <w:footnoteReference w:id="229"/>
      </w:r>
      <w:r w:rsidR="009075E7" w:rsidRPr="00AE78BA">
        <w:rPr>
          <w:lang w:val="en-GB"/>
        </w:rPr>
        <w:t xml:space="preserve"> </w:t>
      </w:r>
      <w:r w:rsidR="0036379E">
        <w:rPr>
          <w:lang w:val="en-GB"/>
        </w:rPr>
        <w:t>According to the Minister of the Interior, Eimutis Misiūnas, t</w:t>
      </w:r>
      <w:r w:rsidR="0036379E">
        <w:t>his will ensure transparency and accountability: the fewer institutions involved in decision-making, the clearer their responsibilities</w:t>
      </w:r>
      <w:r w:rsidR="0062490F">
        <w:t xml:space="preserve"> are</w:t>
      </w:r>
      <w:r w:rsidR="0036379E">
        <w:t>.</w:t>
      </w:r>
      <w:r w:rsidR="00A27C2B" w:rsidRPr="00DE4C72">
        <w:rPr>
          <w:rStyle w:val="FootnoteReference"/>
        </w:rPr>
        <w:footnoteReference w:id="230"/>
      </w:r>
      <w:r w:rsidR="0036379E">
        <w:t xml:space="preserve"> This in turn should </w:t>
      </w:r>
      <w:r w:rsidR="00FD3DA5">
        <w:t xml:space="preserve">also </w:t>
      </w:r>
      <w:r w:rsidR="0036379E">
        <w:t>ensure that the quality of service provided to TRP applicants also improves, reducing extremely long queues (4-5 hours) and procedural efficiency.</w:t>
      </w:r>
      <w:r w:rsidR="00A27C2B" w:rsidRPr="00DE4C72">
        <w:rPr>
          <w:rStyle w:val="FootnoteReference"/>
        </w:rPr>
        <w:footnoteReference w:id="231"/>
      </w:r>
      <w:r w:rsidR="0036379E">
        <w:t xml:space="preserve"> </w:t>
      </w:r>
    </w:p>
    <w:p w14:paraId="4454E132" w14:textId="77777777" w:rsidR="00FD3DA5" w:rsidRDefault="00FD3DA5" w:rsidP="00AE78BA">
      <w:pPr>
        <w:pStyle w:val="MBT"/>
      </w:pPr>
    </w:p>
    <w:p w14:paraId="376ADC86" w14:textId="1E6AC01D" w:rsidR="00214182" w:rsidRPr="00CA73E1" w:rsidRDefault="00FD3DA5" w:rsidP="00AE78BA">
      <w:pPr>
        <w:pStyle w:val="MBT"/>
        <w:rPr>
          <w:lang w:val="en-GB"/>
        </w:rPr>
      </w:pPr>
      <w:r>
        <w:t xml:space="preserve">Finally, </w:t>
      </w:r>
      <w:r w:rsidR="00217A7C" w:rsidRPr="00AE78BA">
        <w:rPr>
          <w:rFonts w:eastAsia="MinionPro-Regular"/>
          <w:lang w:val="en-GB" w:eastAsia="en-GB"/>
        </w:rPr>
        <w:t xml:space="preserve">Lithuanian institutions </w:t>
      </w:r>
      <w:r w:rsidR="00E42920" w:rsidRPr="00AE78BA">
        <w:rPr>
          <w:rFonts w:eastAsia="MinionPro-Regular"/>
          <w:lang w:val="en-GB" w:eastAsia="en-GB"/>
        </w:rPr>
        <w:t>are</w:t>
      </w:r>
      <w:r w:rsidR="00D6339A" w:rsidRPr="00AE78BA">
        <w:rPr>
          <w:rFonts w:eastAsia="MinionPro-Regular"/>
          <w:lang w:val="en-GB" w:eastAsia="en-GB"/>
        </w:rPr>
        <w:t xml:space="preserve"> </w:t>
      </w:r>
      <w:r w:rsidR="009075E7" w:rsidRPr="00AE78BA">
        <w:rPr>
          <w:rFonts w:eastAsia="MinionPro-Regular"/>
          <w:lang w:val="en-GB" w:eastAsia="en-GB"/>
        </w:rPr>
        <w:t xml:space="preserve">also </w:t>
      </w:r>
      <w:r w:rsidR="00D6339A" w:rsidRPr="00AE78BA">
        <w:rPr>
          <w:rFonts w:eastAsia="MinionPro-Regular"/>
          <w:lang w:val="en-GB" w:eastAsia="en-GB"/>
        </w:rPr>
        <w:t xml:space="preserve">currently working to </w:t>
      </w:r>
      <w:r w:rsidR="00D7643C" w:rsidRPr="00AE78BA">
        <w:rPr>
          <w:rFonts w:eastAsia="MinionPro-Regular"/>
          <w:lang w:val="en-GB" w:eastAsia="en-GB"/>
        </w:rPr>
        <w:t>introduce</w:t>
      </w:r>
      <w:r w:rsidR="00D6339A" w:rsidRPr="00AE78BA">
        <w:rPr>
          <w:rFonts w:eastAsia="MinionPro-Regular"/>
          <w:lang w:val="en-GB" w:eastAsia="en-GB"/>
        </w:rPr>
        <w:t xml:space="preserve"> a new </w:t>
      </w:r>
      <w:r w:rsidR="00217A7C" w:rsidRPr="00AE78BA">
        <w:rPr>
          <w:rFonts w:eastAsia="MinionPro-Regular"/>
          <w:lang w:val="en-GB" w:eastAsia="en-GB"/>
        </w:rPr>
        <w:t>national</w:t>
      </w:r>
      <w:r w:rsidR="00E42920" w:rsidRPr="00AE78BA">
        <w:rPr>
          <w:rFonts w:eastAsia="MinionPro-Regular"/>
          <w:lang w:val="en-GB" w:eastAsia="en-GB"/>
        </w:rPr>
        <w:t xml:space="preserve"> migration </w:t>
      </w:r>
      <w:r w:rsidR="00D6339A" w:rsidRPr="00AE78BA">
        <w:rPr>
          <w:rFonts w:eastAsia="MinionPro-Regular"/>
          <w:lang w:val="en-GB" w:eastAsia="en-GB"/>
        </w:rPr>
        <w:t xml:space="preserve">information </w:t>
      </w:r>
      <w:r w:rsidR="00A22251" w:rsidRPr="00AE78BA">
        <w:rPr>
          <w:rFonts w:eastAsia="MinionPro-Regular"/>
          <w:lang w:val="en-GB" w:eastAsia="en-GB"/>
        </w:rPr>
        <w:t xml:space="preserve">management </w:t>
      </w:r>
      <w:r w:rsidR="00D6339A" w:rsidRPr="00AE78BA">
        <w:rPr>
          <w:rFonts w:eastAsia="MinionPro-Regular"/>
          <w:lang w:val="en-GB" w:eastAsia="en-GB"/>
        </w:rPr>
        <w:t>system, MIGRIS, based on the Finnish model and funded by the European Union, expected to be in place b</w:t>
      </w:r>
      <w:r w:rsidR="00192204" w:rsidRPr="00AE78BA">
        <w:rPr>
          <w:rFonts w:eastAsia="MinionPro-Regular"/>
          <w:lang w:val="en-GB" w:eastAsia="en-GB"/>
        </w:rPr>
        <w:t>efore</w:t>
      </w:r>
      <w:r w:rsidR="00D6339A" w:rsidRPr="00AE78BA">
        <w:rPr>
          <w:rFonts w:eastAsia="MinionPro-Regular"/>
          <w:lang w:val="en-GB" w:eastAsia="en-GB"/>
        </w:rPr>
        <w:t xml:space="preserve"> </w:t>
      </w:r>
      <w:r w:rsidR="00192204" w:rsidRPr="00AE78BA">
        <w:rPr>
          <w:rFonts w:eastAsia="MinionPro-Regular"/>
          <w:lang w:val="en-GB" w:eastAsia="en-GB"/>
        </w:rPr>
        <w:t>September</w:t>
      </w:r>
      <w:r w:rsidR="00226047" w:rsidRPr="00AE78BA">
        <w:rPr>
          <w:rFonts w:eastAsia="MinionPro-Regular"/>
          <w:lang w:val="en-GB" w:eastAsia="en-GB"/>
        </w:rPr>
        <w:t xml:space="preserve"> 202</w:t>
      </w:r>
      <w:r w:rsidR="00D6339A" w:rsidRPr="00AE78BA">
        <w:rPr>
          <w:rFonts w:eastAsia="MinionPro-Regular"/>
          <w:lang w:val="en-GB" w:eastAsia="en-GB"/>
        </w:rPr>
        <w:t>0.</w:t>
      </w:r>
      <w:r w:rsidR="00AA1BF8" w:rsidRPr="004C4CE9">
        <w:rPr>
          <w:rStyle w:val="FootnoteReference"/>
          <w:rFonts w:eastAsia="MinionPro-Regular"/>
        </w:rPr>
        <w:footnoteReference w:id="232"/>
      </w:r>
      <w:r w:rsidR="00130909" w:rsidRPr="00AE78BA">
        <w:rPr>
          <w:rFonts w:eastAsia="MinionPro-Regular"/>
          <w:lang w:val="en-GB" w:eastAsia="en-GB"/>
        </w:rPr>
        <w:t xml:space="preserve"> Hopefully, this will help implement some of the </w:t>
      </w:r>
      <w:r w:rsidR="00495A4B" w:rsidRPr="00AE78BA">
        <w:rPr>
          <w:rFonts w:eastAsia="MinionPro-Regular"/>
          <w:lang w:val="en-GB" w:eastAsia="en-GB"/>
        </w:rPr>
        <w:t>recommendations by the NAO</w:t>
      </w:r>
      <w:r w:rsidR="006F6BE4" w:rsidRPr="004C4CE9">
        <w:rPr>
          <w:rStyle w:val="FootnoteReference"/>
          <w:rFonts w:eastAsia="MinionPro-Regular"/>
        </w:rPr>
        <w:footnoteReference w:id="233"/>
      </w:r>
      <w:r w:rsidR="00130909" w:rsidRPr="00AE78BA">
        <w:rPr>
          <w:rFonts w:eastAsia="MinionPro-Regular"/>
          <w:lang w:val="en-GB" w:eastAsia="en-GB"/>
        </w:rPr>
        <w:t xml:space="preserve"> </w:t>
      </w:r>
      <w:r w:rsidR="006F6BE4" w:rsidRPr="00AE78BA">
        <w:rPr>
          <w:rFonts w:eastAsia="MinionPro-Regular"/>
          <w:lang w:val="en-GB" w:eastAsia="en-GB"/>
        </w:rPr>
        <w:t>that called for</w:t>
      </w:r>
      <w:r w:rsidR="00130909" w:rsidRPr="00AE78BA">
        <w:rPr>
          <w:rFonts w:eastAsia="MinionPro-Regular"/>
          <w:lang w:val="en-GB" w:eastAsia="en-GB"/>
        </w:rPr>
        <w:t xml:space="preserve"> introduc</w:t>
      </w:r>
      <w:r w:rsidR="006F6BE4" w:rsidRPr="00AE78BA">
        <w:rPr>
          <w:rFonts w:eastAsia="MinionPro-Regular"/>
          <w:lang w:val="en-GB" w:eastAsia="en-GB"/>
        </w:rPr>
        <w:t>ing</w:t>
      </w:r>
      <w:r w:rsidR="00130909" w:rsidRPr="006C6C4F">
        <w:rPr>
          <w:rFonts w:eastAsia="MinionPro-Regular"/>
          <w:lang w:val="en-GB" w:eastAsia="en-GB"/>
        </w:rPr>
        <w:t xml:space="preserve"> a more</w:t>
      </w:r>
      <w:r w:rsidR="00130909" w:rsidRPr="006C6C4F">
        <w:rPr>
          <w:lang w:val="en-GB"/>
        </w:rPr>
        <w:t xml:space="preserve"> coordinated approach to Lithuania’s immigration policy, better data quality</w:t>
      </w:r>
      <w:r w:rsidR="006F6BE4" w:rsidRPr="006C6C4F">
        <w:rPr>
          <w:lang w:val="en-GB"/>
        </w:rPr>
        <w:t xml:space="preserve"> and </w:t>
      </w:r>
      <w:r w:rsidR="00130909" w:rsidRPr="006C6C4F">
        <w:rPr>
          <w:lang w:val="en-GB"/>
        </w:rPr>
        <w:t>reduc</w:t>
      </w:r>
      <w:r w:rsidR="006F6BE4" w:rsidRPr="006C6C4F">
        <w:rPr>
          <w:lang w:val="en-GB"/>
        </w:rPr>
        <w:t>ing</w:t>
      </w:r>
      <w:r w:rsidR="00130909" w:rsidRPr="006C6C4F">
        <w:rPr>
          <w:lang w:val="en-GB"/>
        </w:rPr>
        <w:t xml:space="preserve"> the extensive bureaucracy that is burdensome on the TRP applicants.</w:t>
      </w:r>
    </w:p>
    <w:p w14:paraId="199AC3D1" w14:textId="77777777" w:rsidR="00405C49" w:rsidRPr="008669C8" w:rsidRDefault="00405C49">
      <w:pPr>
        <w:pStyle w:val="MBT"/>
        <w:rPr>
          <w:lang w:val="en-GB"/>
        </w:rPr>
      </w:pPr>
    </w:p>
    <w:sectPr w:rsidR="00405C49" w:rsidRPr="008669C8">
      <w:footerReference w:type="default" r:id="rId26"/>
      <w:pgSz w:w="11906" w:h="16838"/>
      <w:pgMar w:top="1440" w:right="1440" w:bottom="1440" w:left="1440" w:header="708" w:footer="708"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2F3917D" w16cid:durableId="1F1578B3"/>
  <w16cid:commentId w16cid:paraId="0D10B21B" w16cid:durableId="1F157CAF"/>
  <w16cid:commentId w16cid:paraId="3073A311" w16cid:durableId="1F1578B4"/>
  <w16cid:commentId w16cid:paraId="55969C8A" w16cid:durableId="1F1593DB"/>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08F3CAB" w14:textId="77777777" w:rsidR="001A71C8" w:rsidRDefault="001A71C8">
      <w:r>
        <w:separator/>
      </w:r>
    </w:p>
  </w:endnote>
  <w:endnote w:type="continuationSeparator" w:id="0">
    <w:p w14:paraId="75283A67" w14:textId="77777777" w:rsidR="001A71C8" w:rsidRDefault="001A71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EUAlbertina">
    <w:altName w:val="Cambria"/>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MinionPro-Regular">
    <w:altName w:val="MS Mincho"/>
    <w:panose1 w:val="00000000000000000000"/>
    <w:charset w:val="80"/>
    <w:family w:val="roman"/>
    <w:notTrueType/>
    <w:pitch w:val="default"/>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CB94F4" w14:textId="77777777" w:rsidR="009F3034" w:rsidRDefault="009F3034">
    <w:pPr>
      <w:pStyle w:val="Footer"/>
    </w:pPr>
  </w:p>
  <w:tbl>
    <w:tblPr>
      <w:tblW w:w="0" w:type="auto"/>
      <w:tblBorders>
        <w:top w:val="single" w:sz="4" w:space="0" w:color="auto"/>
      </w:tblBorders>
      <w:tblLook w:val="01E0" w:firstRow="1" w:lastRow="1" w:firstColumn="1" w:lastColumn="1" w:noHBand="0" w:noVBand="0"/>
    </w:tblPr>
    <w:tblGrid>
      <w:gridCol w:w="2093"/>
      <w:gridCol w:w="7073"/>
    </w:tblGrid>
    <w:tr w:rsidR="009F3034" w:rsidRPr="00575A75" w14:paraId="23FAFC57" w14:textId="77777777" w:rsidTr="00A57A4A">
      <w:tc>
        <w:tcPr>
          <w:tcW w:w="2093" w:type="dxa"/>
        </w:tcPr>
        <w:p w14:paraId="411E49D5" w14:textId="77777777" w:rsidR="009F3034" w:rsidRPr="007E257E" w:rsidRDefault="009F3034" w:rsidP="00A57A4A">
          <w:pPr>
            <w:pStyle w:val="Header"/>
            <w:ind w:right="360"/>
            <w:rPr>
              <w:i/>
              <w:sz w:val="18"/>
              <w:szCs w:val="18"/>
            </w:rPr>
          </w:pPr>
          <w:r w:rsidRPr="007E257E">
            <w:rPr>
              <w:i/>
              <w:sz w:val="18"/>
              <w:szCs w:val="18"/>
            </w:rPr>
            <w:t xml:space="preserve">Milieu Ltd </w:t>
          </w:r>
        </w:p>
        <w:p w14:paraId="42033E3B" w14:textId="77777777" w:rsidR="009F3034" w:rsidRPr="007E257E" w:rsidRDefault="009F3034" w:rsidP="00A57A4A">
          <w:pPr>
            <w:pStyle w:val="Header"/>
            <w:ind w:right="360"/>
            <w:rPr>
              <w:i/>
              <w:sz w:val="18"/>
              <w:szCs w:val="18"/>
            </w:rPr>
          </w:pPr>
          <w:r w:rsidRPr="007E257E">
            <w:rPr>
              <w:i/>
              <w:sz w:val="18"/>
              <w:szCs w:val="18"/>
            </w:rPr>
            <w:t xml:space="preserve">Brussels </w:t>
          </w:r>
        </w:p>
      </w:tc>
      <w:tc>
        <w:tcPr>
          <w:tcW w:w="7073" w:type="dxa"/>
        </w:tcPr>
        <w:p w14:paraId="11772CB6" w14:textId="77777777" w:rsidR="009F3034" w:rsidRPr="000C74BF" w:rsidRDefault="009F3034" w:rsidP="00A57A4A">
          <w:pPr>
            <w:pStyle w:val="Header"/>
            <w:ind w:right="19"/>
            <w:jc w:val="right"/>
            <w:rPr>
              <w:i/>
              <w:sz w:val="18"/>
              <w:szCs w:val="18"/>
            </w:rPr>
          </w:pPr>
          <w:r w:rsidRPr="0034536F">
            <w:rPr>
              <w:i/>
              <w:sz w:val="18"/>
              <w:szCs w:val="18"/>
            </w:rPr>
            <w:t xml:space="preserve">Conformity Study Directive 2011/70/EURATOM  for </w:t>
          </w:r>
          <w:r w:rsidRPr="00B611C9">
            <w:rPr>
              <w:i/>
              <w:sz w:val="18"/>
              <w:szCs w:val="18"/>
              <w:highlight w:val="yellow"/>
            </w:rPr>
            <w:t>Country</w:t>
          </w:r>
          <w:r w:rsidRPr="00310B03">
            <w:rPr>
              <w:i/>
              <w:sz w:val="18"/>
              <w:szCs w:val="18"/>
              <w:highlight w:val="yellow"/>
            </w:rPr>
            <w:t xml:space="preserve">, </w:t>
          </w:r>
          <w:r>
            <w:rPr>
              <w:i/>
              <w:sz w:val="18"/>
              <w:szCs w:val="18"/>
              <w:highlight w:val="yellow"/>
            </w:rPr>
            <w:t>Month 2014</w:t>
          </w:r>
          <w:r w:rsidRPr="00310B03">
            <w:rPr>
              <w:i/>
              <w:sz w:val="18"/>
              <w:szCs w:val="18"/>
              <w:highlight w:val="yellow"/>
            </w:rPr>
            <w:t xml:space="preserve"> / </w:t>
          </w:r>
          <w:r w:rsidRPr="00310B03">
            <w:rPr>
              <w:rStyle w:val="PageNumber"/>
              <w:sz w:val="18"/>
              <w:szCs w:val="18"/>
              <w:highlight w:val="yellow"/>
            </w:rPr>
            <w:fldChar w:fldCharType="begin"/>
          </w:r>
          <w:r w:rsidRPr="00310B03">
            <w:rPr>
              <w:rStyle w:val="PageNumber"/>
              <w:sz w:val="18"/>
              <w:szCs w:val="18"/>
              <w:highlight w:val="yellow"/>
            </w:rPr>
            <w:instrText xml:space="preserve"> PAGE </w:instrText>
          </w:r>
          <w:r w:rsidRPr="00310B03">
            <w:rPr>
              <w:rStyle w:val="PageNumber"/>
              <w:sz w:val="18"/>
              <w:szCs w:val="18"/>
              <w:highlight w:val="yellow"/>
            </w:rPr>
            <w:fldChar w:fldCharType="separate"/>
          </w:r>
          <w:r>
            <w:rPr>
              <w:rStyle w:val="PageNumber"/>
              <w:noProof/>
              <w:sz w:val="18"/>
              <w:szCs w:val="18"/>
              <w:highlight w:val="yellow"/>
            </w:rPr>
            <w:t>9</w:t>
          </w:r>
          <w:r w:rsidRPr="00310B03">
            <w:rPr>
              <w:rStyle w:val="PageNumber"/>
              <w:sz w:val="18"/>
              <w:szCs w:val="18"/>
              <w:highlight w:val="yellow"/>
            </w:rPr>
            <w:fldChar w:fldCharType="end"/>
          </w:r>
        </w:p>
      </w:tc>
    </w:tr>
  </w:tbl>
  <w:p w14:paraId="6EAF4E40" w14:textId="77777777" w:rsidR="009F3034" w:rsidRPr="00EF3893" w:rsidRDefault="009F303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38403003"/>
      <w:docPartObj>
        <w:docPartGallery w:val="Page Numbers (Bottom of Page)"/>
        <w:docPartUnique/>
      </w:docPartObj>
    </w:sdtPr>
    <w:sdtEndPr>
      <w:rPr>
        <w:noProof/>
      </w:rPr>
    </w:sdtEndPr>
    <w:sdtContent>
      <w:p w14:paraId="60621562" w14:textId="77777777" w:rsidR="009F3034" w:rsidRDefault="009F3034" w:rsidP="006A49F9">
        <w:pPr>
          <w:pStyle w:val="Footer"/>
          <w:ind w:right="360"/>
        </w:pPr>
      </w:p>
      <w:tbl>
        <w:tblPr>
          <w:tblW w:w="5000" w:type="pct"/>
          <w:tblBorders>
            <w:top w:val="single" w:sz="4" w:space="0" w:color="auto"/>
          </w:tblBorders>
          <w:tblLook w:val="01E0" w:firstRow="1" w:lastRow="1" w:firstColumn="1" w:lastColumn="1" w:noHBand="0" w:noVBand="0"/>
        </w:tblPr>
        <w:tblGrid>
          <w:gridCol w:w="2220"/>
          <w:gridCol w:w="7022"/>
        </w:tblGrid>
        <w:tr w:rsidR="009F3034" w:rsidRPr="007D0279" w14:paraId="306FBEB9" w14:textId="77777777" w:rsidTr="004C0B0D">
          <w:tc>
            <w:tcPr>
              <w:tcW w:w="1201" w:type="pct"/>
            </w:tcPr>
            <w:p w14:paraId="2DDB32E9" w14:textId="77777777" w:rsidR="009F3034" w:rsidRPr="001D7DA5" w:rsidRDefault="009F3034" w:rsidP="006A49F9">
              <w:pPr>
                <w:tabs>
                  <w:tab w:val="left" w:pos="1212"/>
                </w:tabs>
                <w:ind w:right="360"/>
                <w:rPr>
                  <w:i/>
                  <w:sz w:val="18"/>
                </w:rPr>
              </w:pPr>
              <w:r>
                <w:rPr>
                  <w:i/>
                  <w:sz w:val="18"/>
                </w:rPr>
                <w:t xml:space="preserve">Milieu Ltd </w:t>
              </w:r>
            </w:p>
            <w:p w14:paraId="4D3CD41C" w14:textId="1E7C367A" w:rsidR="009F3034" w:rsidRPr="001D7DA5" w:rsidRDefault="009F3034" w:rsidP="006A49F9">
              <w:pPr>
                <w:tabs>
                  <w:tab w:val="center" w:pos="4153"/>
                  <w:tab w:val="right" w:pos="8306"/>
                </w:tabs>
                <w:ind w:right="360"/>
                <w:rPr>
                  <w:i/>
                  <w:sz w:val="18"/>
                </w:rPr>
              </w:pPr>
              <w:r w:rsidRPr="001D7DA5">
                <w:rPr>
                  <w:i/>
                  <w:sz w:val="18"/>
                </w:rPr>
                <w:t xml:space="preserve">Brussels, </w:t>
              </w:r>
              <w:r>
                <w:rPr>
                  <w:i/>
                  <w:sz w:val="18"/>
                </w:rPr>
                <w:t>April 2018</w:t>
              </w:r>
            </w:p>
          </w:tc>
          <w:tc>
            <w:tcPr>
              <w:tcW w:w="3799" w:type="pct"/>
            </w:tcPr>
            <w:p w14:paraId="31A20A3E" w14:textId="3F1C0FD8" w:rsidR="009F3034" w:rsidRPr="001D7DA5" w:rsidRDefault="009F3034" w:rsidP="006A49F9">
              <w:pPr>
                <w:tabs>
                  <w:tab w:val="center" w:pos="4153"/>
                  <w:tab w:val="right" w:pos="8306"/>
                </w:tabs>
                <w:ind w:right="19"/>
                <w:jc w:val="right"/>
                <w:rPr>
                  <w:i/>
                  <w:sz w:val="18"/>
                </w:rPr>
              </w:pPr>
              <w:r w:rsidRPr="001D7DA5">
                <w:rPr>
                  <w:i/>
                  <w:sz w:val="18"/>
                </w:rPr>
                <w:t xml:space="preserve">Deliverable B.II – Investors’ Residence Schemes </w:t>
              </w:r>
              <w:r>
                <w:rPr>
                  <w:i/>
                  <w:sz w:val="18"/>
                </w:rPr>
                <w:t>in Lithuania</w:t>
              </w:r>
              <w:r w:rsidRPr="001D7DA5">
                <w:rPr>
                  <w:i/>
                  <w:sz w:val="18"/>
                </w:rPr>
                <w:t>/</w:t>
              </w:r>
              <w:r w:rsidRPr="001D7DA5">
                <w:rPr>
                  <w:i/>
                  <w:sz w:val="18"/>
                </w:rPr>
                <w:fldChar w:fldCharType="begin"/>
              </w:r>
              <w:r w:rsidRPr="001D7DA5">
                <w:rPr>
                  <w:i/>
                  <w:sz w:val="18"/>
                </w:rPr>
                <w:instrText xml:space="preserve"> PAGE   \* MERGEFORMAT </w:instrText>
              </w:r>
              <w:r w:rsidRPr="001D7DA5">
                <w:rPr>
                  <w:i/>
                  <w:sz w:val="18"/>
                </w:rPr>
                <w:fldChar w:fldCharType="separate"/>
              </w:r>
              <w:r w:rsidR="00CD61D0">
                <w:rPr>
                  <w:i/>
                  <w:noProof/>
                  <w:sz w:val="18"/>
                </w:rPr>
                <w:t>19</w:t>
              </w:r>
              <w:r w:rsidRPr="001D7DA5">
                <w:rPr>
                  <w:i/>
                  <w:noProof/>
                  <w:sz w:val="18"/>
                </w:rPr>
                <w:fldChar w:fldCharType="end"/>
              </w:r>
            </w:p>
          </w:tc>
        </w:tr>
      </w:tbl>
      <w:p w14:paraId="6096E231" w14:textId="559254FF" w:rsidR="009F3034" w:rsidRPr="006A49F9" w:rsidRDefault="00CD61D0" w:rsidP="006A49F9">
        <w:pPr>
          <w:pStyle w:val="Footer"/>
        </w:pP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FE85BA" w14:textId="77777777" w:rsidR="009F3034" w:rsidRDefault="009F3034" w:rsidP="00204BA5">
    <w:pPr>
      <w:pStyle w:val="Footer"/>
      <w:ind w:right="360"/>
    </w:pPr>
  </w:p>
  <w:tbl>
    <w:tblPr>
      <w:tblW w:w="5000" w:type="pct"/>
      <w:tblBorders>
        <w:top w:val="single" w:sz="4" w:space="0" w:color="auto"/>
      </w:tblBorders>
      <w:tblLook w:val="01E0" w:firstRow="1" w:lastRow="1" w:firstColumn="1" w:lastColumn="1" w:noHBand="0" w:noVBand="0"/>
    </w:tblPr>
    <w:tblGrid>
      <w:gridCol w:w="3405"/>
      <w:gridCol w:w="10769"/>
    </w:tblGrid>
    <w:tr w:rsidR="009F3034" w:rsidRPr="00575A75" w14:paraId="5522E383" w14:textId="77777777" w:rsidTr="00204BA5">
      <w:tc>
        <w:tcPr>
          <w:tcW w:w="1201" w:type="pct"/>
        </w:tcPr>
        <w:p w14:paraId="6F5D22D5" w14:textId="77777777" w:rsidR="009F3034" w:rsidRPr="001D7DA5" w:rsidRDefault="009F3034" w:rsidP="001C1E15">
          <w:pPr>
            <w:tabs>
              <w:tab w:val="left" w:pos="1212"/>
            </w:tabs>
            <w:ind w:right="360"/>
            <w:rPr>
              <w:i/>
              <w:sz w:val="18"/>
            </w:rPr>
          </w:pPr>
          <w:r>
            <w:rPr>
              <w:i/>
              <w:sz w:val="18"/>
            </w:rPr>
            <w:t xml:space="preserve">Milieu Ltd </w:t>
          </w:r>
        </w:p>
        <w:p w14:paraId="630E45BB" w14:textId="61629324" w:rsidR="009F3034" w:rsidRPr="001D7DA5" w:rsidRDefault="009F3034" w:rsidP="001C1E15">
          <w:pPr>
            <w:tabs>
              <w:tab w:val="center" w:pos="4153"/>
              <w:tab w:val="right" w:pos="8306"/>
            </w:tabs>
            <w:ind w:right="360"/>
            <w:rPr>
              <w:i/>
              <w:sz w:val="18"/>
            </w:rPr>
          </w:pPr>
          <w:r w:rsidRPr="001D7DA5">
            <w:rPr>
              <w:i/>
              <w:sz w:val="18"/>
            </w:rPr>
            <w:t xml:space="preserve">Brussels, </w:t>
          </w:r>
          <w:r>
            <w:rPr>
              <w:i/>
              <w:sz w:val="18"/>
            </w:rPr>
            <w:t>April 2018</w:t>
          </w:r>
        </w:p>
      </w:tc>
      <w:tc>
        <w:tcPr>
          <w:tcW w:w="3799" w:type="pct"/>
        </w:tcPr>
        <w:p w14:paraId="3595F69E" w14:textId="52339094" w:rsidR="009F3034" w:rsidRPr="001D7DA5" w:rsidRDefault="009F3034" w:rsidP="001C1E15">
          <w:pPr>
            <w:tabs>
              <w:tab w:val="center" w:pos="4153"/>
              <w:tab w:val="right" w:pos="8306"/>
            </w:tabs>
            <w:ind w:right="19"/>
            <w:jc w:val="right"/>
            <w:rPr>
              <w:i/>
              <w:sz w:val="18"/>
            </w:rPr>
          </w:pPr>
          <w:r w:rsidRPr="001D7DA5">
            <w:rPr>
              <w:i/>
              <w:sz w:val="18"/>
            </w:rPr>
            <w:t>Deliverable B.II – I</w:t>
          </w:r>
          <w:r>
            <w:rPr>
              <w:i/>
              <w:sz w:val="18"/>
            </w:rPr>
            <w:t>nvestors’ Residence Schemes in Lithuania</w:t>
          </w:r>
          <w:r w:rsidRPr="001D7DA5">
            <w:rPr>
              <w:i/>
              <w:sz w:val="18"/>
            </w:rPr>
            <w:t>/</w:t>
          </w:r>
          <w:r w:rsidRPr="001D7DA5">
            <w:rPr>
              <w:i/>
              <w:sz w:val="18"/>
            </w:rPr>
            <w:fldChar w:fldCharType="begin"/>
          </w:r>
          <w:r w:rsidRPr="001D7DA5">
            <w:rPr>
              <w:i/>
              <w:sz w:val="18"/>
            </w:rPr>
            <w:instrText xml:space="preserve"> PAGE   \* MERGEFORMAT </w:instrText>
          </w:r>
          <w:r w:rsidRPr="001D7DA5">
            <w:rPr>
              <w:i/>
              <w:sz w:val="18"/>
            </w:rPr>
            <w:fldChar w:fldCharType="separate"/>
          </w:r>
          <w:r w:rsidR="00CD61D0">
            <w:rPr>
              <w:i/>
              <w:noProof/>
              <w:sz w:val="18"/>
            </w:rPr>
            <w:t>26</w:t>
          </w:r>
          <w:r w:rsidRPr="001D7DA5">
            <w:rPr>
              <w:i/>
              <w:noProof/>
              <w:sz w:val="18"/>
            </w:rPr>
            <w:fldChar w:fldCharType="end"/>
          </w:r>
        </w:p>
      </w:tc>
    </w:tr>
  </w:tbl>
  <w:p w14:paraId="367F09CF" w14:textId="77777777" w:rsidR="009F3034" w:rsidRPr="00B311A7" w:rsidRDefault="009F3034" w:rsidP="00204BA5">
    <w:pPr>
      <w:pStyle w:val="Footer"/>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5F2921" w14:textId="77777777" w:rsidR="009F3034" w:rsidRDefault="009F3034" w:rsidP="00BD262D">
    <w:pPr>
      <w:pStyle w:val="Footer"/>
      <w:ind w:right="360"/>
    </w:pPr>
  </w:p>
  <w:tbl>
    <w:tblPr>
      <w:tblW w:w="5000" w:type="pct"/>
      <w:tblBorders>
        <w:top w:val="single" w:sz="4" w:space="0" w:color="auto"/>
      </w:tblBorders>
      <w:tblLook w:val="01E0" w:firstRow="1" w:lastRow="1" w:firstColumn="1" w:lastColumn="1" w:noHBand="0" w:noVBand="0"/>
    </w:tblPr>
    <w:tblGrid>
      <w:gridCol w:w="2371"/>
      <w:gridCol w:w="6871"/>
    </w:tblGrid>
    <w:tr w:rsidR="009F3034" w:rsidRPr="00575A75" w14:paraId="3FA2452E" w14:textId="77777777" w:rsidTr="00AF7C1C">
      <w:tc>
        <w:tcPr>
          <w:tcW w:w="1283" w:type="pct"/>
        </w:tcPr>
        <w:p w14:paraId="11B9A704" w14:textId="77777777" w:rsidR="009F3034" w:rsidRPr="001D7DA5" w:rsidRDefault="009F3034" w:rsidP="001C1E15">
          <w:pPr>
            <w:tabs>
              <w:tab w:val="left" w:pos="1212"/>
            </w:tabs>
            <w:ind w:right="360"/>
            <w:rPr>
              <w:i/>
              <w:sz w:val="18"/>
            </w:rPr>
          </w:pPr>
          <w:r>
            <w:rPr>
              <w:i/>
              <w:sz w:val="18"/>
            </w:rPr>
            <w:t xml:space="preserve">Milieu Ltd </w:t>
          </w:r>
        </w:p>
        <w:p w14:paraId="1A48F7A2" w14:textId="725E8CC8" w:rsidR="009F3034" w:rsidRPr="001D7DA5" w:rsidRDefault="009F3034" w:rsidP="001C1E15">
          <w:pPr>
            <w:tabs>
              <w:tab w:val="center" w:pos="4153"/>
              <w:tab w:val="right" w:pos="8306"/>
            </w:tabs>
            <w:ind w:right="360"/>
            <w:rPr>
              <w:i/>
              <w:sz w:val="18"/>
            </w:rPr>
          </w:pPr>
          <w:r w:rsidRPr="001D7DA5">
            <w:rPr>
              <w:i/>
              <w:sz w:val="18"/>
            </w:rPr>
            <w:t xml:space="preserve">Brussels, </w:t>
          </w:r>
          <w:r>
            <w:rPr>
              <w:i/>
              <w:sz w:val="18"/>
            </w:rPr>
            <w:t>April 2018</w:t>
          </w:r>
        </w:p>
      </w:tc>
      <w:tc>
        <w:tcPr>
          <w:tcW w:w="3717" w:type="pct"/>
        </w:tcPr>
        <w:p w14:paraId="7C50B7A6" w14:textId="5A869E6E" w:rsidR="009F3034" w:rsidRPr="001D7DA5" w:rsidRDefault="009F3034" w:rsidP="001C1E15">
          <w:pPr>
            <w:tabs>
              <w:tab w:val="center" w:pos="4153"/>
              <w:tab w:val="right" w:pos="8306"/>
            </w:tabs>
            <w:ind w:right="19"/>
            <w:jc w:val="right"/>
            <w:rPr>
              <w:i/>
              <w:sz w:val="18"/>
            </w:rPr>
          </w:pPr>
          <w:r w:rsidRPr="001D7DA5">
            <w:rPr>
              <w:i/>
              <w:sz w:val="18"/>
            </w:rPr>
            <w:t>Deliverable B.II – I</w:t>
          </w:r>
          <w:r>
            <w:rPr>
              <w:i/>
              <w:sz w:val="18"/>
            </w:rPr>
            <w:t>nvestors’ Residence Schemes in Lithuania</w:t>
          </w:r>
          <w:r w:rsidRPr="001D7DA5">
            <w:rPr>
              <w:i/>
              <w:sz w:val="18"/>
            </w:rPr>
            <w:t>/</w:t>
          </w:r>
          <w:r w:rsidRPr="001D7DA5">
            <w:rPr>
              <w:i/>
              <w:sz w:val="18"/>
            </w:rPr>
            <w:fldChar w:fldCharType="begin"/>
          </w:r>
          <w:r w:rsidRPr="001D7DA5">
            <w:rPr>
              <w:i/>
              <w:sz w:val="18"/>
            </w:rPr>
            <w:instrText xml:space="preserve"> PAGE   \* MERGEFORMAT </w:instrText>
          </w:r>
          <w:r w:rsidRPr="001D7DA5">
            <w:rPr>
              <w:i/>
              <w:sz w:val="18"/>
            </w:rPr>
            <w:fldChar w:fldCharType="separate"/>
          </w:r>
          <w:r w:rsidR="00CD61D0">
            <w:rPr>
              <w:i/>
              <w:noProof/>
              <w:sz w:val="18"/>
            </w:rPr>
            <w:t>31</w:t>
          </w:r>
          <w:r w:rsidRPr="001D7DA5">
            <w:rPr>
              <w:i/>
              <w:noProof/>
              <w:sz w:val="18"/>
            </w:rPr>
            <w:fldChar w:fldCharType="end"/>
          </w:r>
        </w:p>
      </w:tc>
    </w:tr>
  </w:tbl>
  <w:p w14:paraId="4F44C283" w14:textId="77777777" w:rsidR="009F3034" w:rsidRPr="00AC2EEB" w:rsidRDefault="009F3034" w:rsidP="00BD262D">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3509CC4" w14:textId="77777777" w:rsidR="001A71C8" w:rsidRDefault="001A71C8">
      <w:r>
        <w:separator/>
      </w:r>
    </w:p>
  </w:footnote>
  <w:footnote w:type="continuationSeparator" w:id="0">
    <w:p w14:paraId="01F80A27" w14:textId="77777777" w:rsidR="001A71C8" w:rsidRDefault="001A71C8">
      <w:r>
        <w:continuationSeparator/>
      </w:r>
    </w:p>
  </w:footnote>
  <w:footnote w:id="1">
    <w:p w14:paraId="4D5421F5"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w:t>
      </w:r>
      <w:r w:rsidRPr="009F3034">
        <w:rPr>
          <w:szCs w:val="18"/>
        </w:rPr>
        <w:fldChar w:fldCharType="begin"/>
      </w:r>
      <w:r w:rsidRPr="009F3034">
        <w:rPr>
          <w:szCs w:val="18"/>
        </w:rPr>
        <w:instrText xml:space="preserve"> ADDIN ZOTERO_ITEM CSL_CITATION {"citationID":"MSCw4wFL","properties":{"formattedCitation":"Sipavi\\uc0\\u269{}ien\\uc0\\u279{}, Jer\\uc0\\u353{}ovas, and Stankevi\\uc0\\u269{}i\\uc0\\u363{}t\\uc0\\u279{}, \\uc0\\u8220{}Verslo Ir Investicij\\uc0\\u371{} Pritraukimas \\uc0\\u303{} Lietuv\\uc0\\u261{}: Migracijos Ir Migracijos Politikos Vaidmuo [Attracting Business and Investment into Lithuania: The Role of Migration and Migration Politics],\\uc0\\u8221{} 23, 57.","plainCitation":"Sipavičienė, Jeršovas, and Stankevičiūtė, “Verslo Ir Investicijų Pritraukimas į Lietuvą: Migracijos Ir Migracijos Politikos Vaidmuo [Attracting Business and Investment into Lithuania: The Role of Migration and Migration Politics],” 23, 57.","noteIndex":13},"citationItems":[{"id":1315,"uris":["http://zotero.org/users/1614103/items/Z7ASCALD"],"uri":["http://zotero.org/users/1614103/items/Z7ASCALD"],"itemData":{"id":1315,"type":"report","title":"Verslo ir investicijų pritraukimas į Lietuvą: migracijos ir migracijos politikos vaidmuo [Attracting business and investment into Lithuania: the role of migration and migration politics]","publisher":"European Migration Network, IOM Vilnius Office","URL":"http://emn.lt/wp-content/uploads/2015/10/Verslo-ir-investicij%C5%B3-pritraukimas-%C4%AF-Lietuv%C4%85.pdf","author":[{"family":"Sipavičienė","given":"Audra"},{"family":"Jeršovas","given":"Mantas"},{"family":"Stankevičiūtė","given":"Agnė"}],"issued":{"date-parts":[["2015"]]},"accessed":{"date-parts":[["2018",2,27]]}},"locator":"23, 57"}],"schema":"https://github.com/citation-style-language/schema/raw/master/csl-citation.json"} </w:instrText>
      </w:r>
      <w:r w:rsidRPr="009F3034">
        <w:rPr>
          <w:szCs w:val="18"/>
        </w:rPr>
        <w:fldChar w:fldCharType="separate"/>
      </w:r>
      <w:r w:rsidRPr="009F3034">
        <w:rPr>
          <w:szCs w:val="18"/>
        </w:rPr>
        <w:t>Sipavičienė, Jeršovas, and Stankevičiūtė, “Verslo Ir Investicijų Pritraukimas į Lietuvą: Migracijos Ir Migracijos Politikos Vaidmuo [Attracting Business and Investment into Lithuania: The Role of Migration and Migration Politics],” 57.</w:t>
      </w:r>
      <w:r w:rsidRPr="009F3034">
        <w:rPr>
          <w:szCs w:val="18"/>
        </w:rPr>
        <w:fldChar w:fldCharType="end"/>
      </w:r>
    </w:p>
  </w:footnote>
  <w:footnote w:id="2">
    <w:p w14:paraId="7EBAC4BF"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Republic of Lithuania Law on the Legal Status of Aliens (Lietuvos Respublikos įstatymas dėl užsieniečių teisinės padėties), Valstybės žinios No. 73-2539, 1041010ISTA0IX-2206, available at </w:t>
      </w:r>
      <w:hyperlink r:id="rId1" w:history="1">
        <w:r w:rsidRPr="009F3034">
          <w:rPr>
            <w:rStyle w:val="Hyperlink"/>
            <w:szCs w:val="18"/>
          </w:rPr>
          <w:t>https://www.e-tar.lt/portal/lt/legalAct/TAR.42837E5A79DD/uCWCKWxVbe</w:t>
        </w:r>
      </w:hyperlink>
      <w:r w:rsidRPr="009F3034">
        <w:rPr>
          <w:szCs w:val="18"/>
        </w:rPr>
        <w:t xml:space="preserve">.  </w:t>
      </w:r>
    </w:p>
  </w:footnote>
  <w:footnote w:id="3">
    <w:p w14:paraId="5E1ABC82"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28.1 LLSA.</w:t>
      </w:r>
    </w:p>
  </w:footnote>
  <w:footnote w:id="4">
    <w:p w14:paraId="42BEC16F"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45 LLSA.</w:t>
      </w:r>
    </w:p>
  </w:footnote>
  <w:footnote w:id="5">
    <w:p w14:paraId="27869F9C" w14:textId="5A69823F"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w:t>
      </w:r>
      <w:r w:rsidRPr="009F3034">
        <w:rPr>
          <w:szCs w:val="18"/>
        </w:rPr>
        <w:fldChar w:fldCharType="begin"/>
      </w:r>
      <w:r w:rsidRPr="009F3034">
        <w:rPr>
          <w:szCs w:val="18"/>
        </w:rPr>
        <w:instrText xml:space="preserve"> ADDIN ZOTERO_ITEM CSL_CITATION {"citationID":"MSCw4wFL","properties":{"formattedCitation":"Sipavi\\uc0\\u269{}ien\\uc0\\u279{}, Jer\\uc0\\u353{}ovas, and Stankevi\\uc0\\u269{}i\\uc0\\u363{}t\\uc0\\u279{}, \\uc0\\u8220{}Verslo Ir Investicij\\uc0\\u371{} Pritraukimas \\uc0\\u303{} Lietuv\\uc0\\u261{}: Migracijos Ir Migracijos Politikos Vaidmuo [Attracting Business and Investment into Lithuania: The Role of Migration and Migration Politics],\\uc0\\u8221{} 23, 57.","plainCitation":"Sipavičienė, Jeršovas, and Stankevičiūtė, “Verslo Ir Investicijų Pritraukimas į Lietuvą: Migracijos Ir Migracijos Politikos Vaidmuo [Attracting Business and Investment into Lithuania: The Role of Migration and Migration Politics],” 23, 57.","noteIndex":13},"citationItems":[{"id":1315,"uris":["http://zotero.org/users/1614103/items/Z7ASCALD"],"uri":["http://zotero.org/users/1614103/items/Z7ASCALD"],"itemData":{"id":1315,"type":"report","title":"Verslo ir investicijų pritraukimas į Lietuvą: migracijos ir migracijos politikos vaidmuo [Attracting business and investment into Lithuania: the role of migration and migration politics]","publisher":"European Migration Network, IOM Vilnius Office","URL":"http://emn.lt/wp-content/uploads/2015/10/Verslo-ir-investicij%C5%B3-pritraukimas-%C4%AF-Lietuv%C4%85.pdf","author":[{"family":"Sipavičienė","given":"Audra"},{"family":"Jeršovas","given":"Mantas"},{"family":"Stankevičiūtė","given":"Agnė"}],"issued":{"date-parts":[["2015"]]},"accessed":{"date-parts":[["2018",2,27]]}},"locator":"23, 57"}],"schema":"https://github.com/citation-style-language/schema/raw/master/csl-citation.json"} </w:instrText>
      </w:r>
      <w:r w:rsidRPr="009F3034">
        <w:rPr>
          <w:szCs w:val="18"/>
        </w:rPr>
        <w:fldChar w:fldCharType="separate"/>
      </w:r>
      <w:r w:rsidRPr="009F3034">
        <w:rPr>
          <w:szCs w:val="18"/>
        </w:rPr>
        <w:t xml:space="preserve"> Sipavičienė, Jeršovas, and Stankevičiūtė, 57.</w:t>
      </w:r>
      <w:r w:rsidRPr="009F3034">
        <w:rPr>
          <w:szCs w:val="18"/>
        </w:rPr>
        <w:fldChar w:fldCharType="end"/>
      </w:r>
    </w:p>
  </w:footnote>
  <w:footnote w:id="6">
    <w:p w14:paraId="7BFAA759" w14:textId="0D16415D"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Information with the Migration Department; competent authority on migration issues; 28 February 2018. See also Article 45.1(2) LLSA. The letter of the law does not state that investors must be actively involved in the business. However, both Article 45.1(1) and 45.1(21) LLSA apply only to persons who ‘participate’ in an enterprise, implying that they must be actively involved (no ‘silent’ investors). The only explicit reference of the purpose of arrival without investing - to work in an enterprise - is for managers of small foreign enterprises (Article 45.1(2) LLSA). Their TRP application must show that they want to come to Lithuania to manage a small foreign enterprise that meets the investment and employee conditions set out in Article 45.1(1). In conclusion, all these types of investors (widely framed in the terms of this Report: whether they are stakeholders, owners or managers of the enterprise) must actively participate in the business they own/run.</w:t>
      </w:r>
    </w:p>
  </w:footnote>
  <w:footnote w:id="7">
    <w:p w14:paraId="4B470D50" w14:textId="3BECD4A3"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Information obtained from the website of Invest Lithuania, which is the website of the Lithuanian Investment Promotion, a government agency for foreign businesses interested in investing in or sourcing products from Lithuania. The Agency was established by the Ministry of Economy of the Republic of Lithuania. Website available at </w:t>
      </w:r>
      <w:hyperlink r:id="rId2" w:history="1">
        <w:r w:rsidRPr="009F3034">
          <w:rPr>
            <w:rStyle w:val="Hyperlink"/>
            <w:szCs w:val="18"/>
          </w:rPr>
          <w:t>https://investlithuania.com/investor-guide/start-your-business/</w:t>
        </w:r>
      </w:hyperlink>
      <w:r w:rsidRPr="009F3034">
        <w:rPr>
          <w:szCs w:val="18"/>
        </w:rPr>
        <w:t>.</w:t>
      </w:r>
    </w:p>
  </w:footnote>
  <w:footnote w:id="8">
    <w:p w14:paraId="62D9AF59" w14:textId="4A43736C"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Information obtained from the website of Invest Lithuania, which is the website of the Lithuanian Investment Promotion, a government agency for foreign businesses interested in investing in or sourcing products from Lithuania. The Agency was established by the Ministry of Economy of the Republic of Lithuania. Website available at </w:t>
      </w:r>
      <w:hyperlink r:id="rId3" w:history="1">
        <w:r w:rsidRPr="009F3034">
          <w:rPr>
            <w:rStyle w:val="Hyperlink"/>
            <w:szCs w:val="18"/>
          </w:rPr>
          <w:t>https://investlithuania.com/investor-guide/start-your-business/</w:t>
        </w:r>
      </w:hyperlink>
      <w:r w:rsidRPr="009F3034">
        <w:rPr>
          <w:szCs w:val="18"/>
        </w:rPr>
        <w:t>. The Lithuanian Commercial Law recognises the following types of companies: Individual enterprise, general partnership, limited partnership, joint stock company, private limited company, cooperative company, and agricultural partnership.</w:t>
      </w:r>
    </w:p>
  </w:footnote>
  <w:footnote w:id="9">
    <w:p w14:paraId="057A76AF" w14:textId="77777777" w:rsidR="009F3034" w:rsidRPr="009F3034" w:rsidRDefault="009F3034" w:rsidP="009F3034">
      <w:pPr>
        <w:pStyle w:val="FootnoteText"/>
        <w:jc w:val="left"/>
        <w:rPr>
          <w:szCs w:val="18"/>
          <w:lang w:val="lt-LT"/>
        </w:rPr>
      </w:pPr>
      <w:r w:rsidRPr="009F3034">
        <w:rPr>
          <w:rStyle w:val="FootnoteReference"/>
          <w:szCs w:val="18"/>
        </w:rPr>
        <w:footnoteRef/>
      </w:r>
      <w:r w:rsidRPr="009F3034">
        <w:rPr>
          <w:szCs w:val="18"/>
        </w:rPr>
        <w:t xml:space="preserve"> Information with the Migration Department; competent authority on migration issues; 28 February 2018.</w:t>
      </w:r>
    </w:p>
  </w:footnote>
  <w:footnote w:id="10">
    <w:p w14:paraId="4627BC5D"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w:t>
      </w:r>
      <w:r w:rsidRPr="009F3034">
        <w:rPr>
          <w:szCs w:val="18"/>
        </w:rPr>
        <w:fldChar w:fldCharType="begin"/>
      </w:r>
      <w:r w:rsidRPr="009F3034">
        <w:rPr>
          <w:szCs w:val="18"/>
        </w:rPr>
        <w:instrText xml:space="preserve"> ADDIN ZOTERO_ITEM CSL_CITATION {"citationID":"C7hJxV6x","properties":{"formattedCitation":"European Migration Network, \\uc0\\u8220{}Admitting Third-Country Nationals for Business Purposes,\\uc0\\u8221{} 2015, 10, http://www.emn.lv/wp-content/uploads/emn_study_admitting_third-country_nationals_for_business_purposes_synthesis_report_vf_04may2015.pdf.","plainCitation":"European Migration Network, “Admitting Third-Country Nationals for Business Purposes,” 2015, 10, http://www.emn.lv/wp-content/uploads/emn_study_admitting_third-country_nationals_for_business_purposes_synthesis_report_vf_04may2015.pdf.","noteIndex":15},"citationItems":[{"id":1288,"uris":["http://zotero.org/users/1614103/items/CL8DEIPV"],"uri":["http://zotero.org/users/1614103/items/CL8DEIPV"],"itemData":{"id":1288,"type":"report","title":"Admitting third-country nationals for business purposes","URL":"http://www.emn.lv/wp-content/uploads/emn_study_admitting_third-country_nationals_for_business_purposes_synthesis_report_vf_04may2015.pdf","author":[{"family":"European Migration Network","given":""}],"issued":{"date-parts":[["2015"]]},"accessed":{"date-parts":[["2018",2,16]]}},"locator":"10"}],"schema":"https://github.com/citation-style-language/schema/raw/master/csl-citation.json"} </w:instrText>
      </w:r>
      <w:r w:rsidRPr="009F3034">
        <w:rPr>
          <w:szCs w:val="18"/>
        </w:rPr>
        <w:fldChar w:fldCharType="separate"/>
      </w:r>
      <w:r w:rsidRPr="009F3034">
        <w:rPr>
          <w:szCs w:val="18"/>
        </w:rPr>
        <w:t>European Migration Network, “Admitting Third-Country Nationals for Business Purposes,” 2015, 10, http://www.emn.lv/wp-content/uploads/emn_study_admitting_third-country_nationals_for_business_purposes_synthesis_report_vf_04may2015.pdf.</w:t>
      </w:r>
      <w:r w:rsidRPr="009F3034">
        <w:rPr>
          <w:szCs w:val="18"/>
        </w:rPr>
        <w:fldChar w:fldCharType="end"/>
      </w:r>
      <w:r w:rsidRPr="009F3034">
        <w:rPr>
          <w:szCs w:val="18"/>
        </w:rPr>
        <w:t xml:space="preserve"> </w:t>
      </w:r>
    </w:p>
  </w:footnote>
  <w:footnote w:id="11">
    <w:p w14:paraId="7D721CBD"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w:t>
      </w:r>
      <w:r w:rsidRPr="009F3034">
        <w:rPr>
          <w:szCs w:val="18"/>
        </w:rPr>
        <w:fldChar w:fldCharType="begin"/>
      </w:r>
      <w:r w:rsidRPr="009F3034">
        <w:rPr>
          <w:szCs w:val="18"/>
        </w:rPr>
        <w:instrText xml:space="preserve"> ADDIN ZOTERO_ITEM CSL_CITATION {"citationID":"3RGkBfCK","properties":{"formattedCitation":"Sipavi\\uc0\\u269{}ien\\uc0\\u279{}, Jer\\uc0\\u353{}ovas, and Stankevi\\uc0\\u269{}i\\uc0\\u363{}t\\uc0\\u279{}, \\uc0\\u8220{}Verslo Ir Investicij\\uc0\\u371{} Pritraukimas \\uc0\\u303{} Lietuv\\uc0\\u261{}: Migracijos Ir Migracijos Politikos Vaidmuo [Attracting Business and Investment into Lithuania: The Role of Migration and Migration Politics],\\uc0\\u8221{} 27.","plainCitation":"Sipavičienė, Jeršovas, and Stankevičiūtė, “Verslo Ir Investicijų Pritraukimas į Lietuvą: Migracijos Ir Migracijos Politikos Vaidmuo [Attracting Business and Investment into Lithuania: The Role of Migration and Migration Politics],” 27.","noteIndex":16},"citationItems":[{"id":1315,"uris":["http://zotero.org/users/1614103/items/Z7ASCALD"],"uri":["http://zotero.org/users/1614103/items/Z7ASCALD"],"itemData":{"id":1315,"type":"report","title":"Verslo ir investicijų pritraukimas į Lietuvą: migracijos ir migracijos politikos vaidmuo [Attracting business and investment into Lithuania: the role of migration and migration politics]","publisher":"European Migration Network, IOM Vilnius Office","URL":"http://emn.lt/wp-content/uploads/2015/10/Verslo-ir-investicij%C5%B3-pritraukimas-%C4%AF-Lietuv%C4%85.pdf","author":[{"family":"Sipavičienė","given":"Audra"},{"family":"Jeršovas","given":"Mantas"},{"family":"Stankevičiūtė","given":"Agnė"}],"issued":{"date-parts":[["2015"]]},"accessed":{"date-parts":[["2018",2,27]]}},"locator":"27"}],"schema":"https://github.com/citation-style-language/schema/raw/master/csl-citation.json"} </w:instrText>
      </w:r>
      <w:r w:rsidRPr="009F3034">
        <w:rPr>
          <w:szCs w:val="18"/>
        </w:rPr>
        <w:fldChar w:fldCharType="separate"/>
      </w:r>
      <w:r w:rsidRPr="009F3034">
        <w:rPr>
          <w:szCs w:val="18"/>
        </w:rPr>
        <w:t>Sipavičienė, Jeršovas, and Stankevičiūtė, “Verslo Ir Investicijų Pritraukimas į Lietuvą: Migracijos Ir Migracijos Politikos Vaidmuo [Attracting Business and Investment into Lithuania: The Role of Migration and Migration Politics],” 27.</w:t>
      </w:r>
      <w:r w:rsidRPr="009F3034">
        <w:rPr>
          <w:szCs w:val="18"/>
        </w:rPr>
        <w:fldChar w:fldCharType="end"/>
      </w:r>
    </w:p>
  </w:footnote>
  <w:footnote w:id="12">
    <w:p w14:paraId="44532495"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w:t>
      </w:r>
      <w:r w:rsidRPr="009F3034">
        <w:rPr>
          <w:szCs w:val="18"/>
        </w:rPr>
        <w:fldChar w:fldCharType="begin"/>
      </w:r>
      <w:r w:rsidRPr="009F3034">
        <w:rPr>
          <w:szCs w:val="18"/>
        </w:rPr>
        <w:instrText xml:space="preserve"> ADDIN ZOTERO_ITEM CSL_CITATION {"citationID":"fUNgRU20","properties":{"formattedCitation":"Sipavi\\uc0\\u269{}ien\\uc0\\u279{}, Jer\\uc0\\u353{}ovas, and Stankevi\\uc0\\u269{}i\\uc0\\u363{}t\\uc0\\u279{}, 26.","plainCitation":"Sipavičienė, Jeršovas, and Stankevičiūtė, 26.","noteIndex":17},"citationItems":[{"id":1315,"uris":["http://zotero.org/users/1614103/items/Z7ASCALD"],"uri":["http://zotero.org/users/1614103/items/Z7ASCALD"],"itemData":{"id":1315,"type":"report","title":"Verslo ir investicijų pritraukimas į Lietuvą: migracijos ir migracijos politikos vaidmuo [Attracting business and investment into Lithuania: the role of migration and migration politics]","publisher":"European Migration Network, IOM Vilnius Office","URL":"http://emn.lt/wp-content/uploads/2015/10/Verslo-ir-investicij%C5%B3-pritraukimas-%C4%AF-Lietuv%C4%85.pdf","author":[{"family":"Sipavičienė","given":"Audra"},{"family":"Jeršovas","given":"Mantas"},{"family":"Stankevičiūtė","given":"Agnė"}],"issued":{"date-parts":[["2015"]]},"accessed":{"date-parts":[["2018",2,27]]}},"locator":"26"}],"schema":"https://github.com/citation-style-language/schema/raw/master/csl-citation.json"} </w:instrText>
      </w:r>
      <w:r w:rsidRPr="009F3034">
        <w:rPr>
          <w:szCs w:val="18"/>
        </w:rPr>
        <w:fldChar w:fldCharType="separate"/>
      </w:r>
      <w:r w:rsidRPr="009F3034">
        <w:rPr>
          <w:szCs w:val="18"/>
        </w:rPr>
        <w:t>Sipavičienė, Jeršovas, and Stankevičiūtė, 26.</w:t>
      </w:r>
      <w:r w:rsidRPr="009F3034">
        <w:rPr>
          <w:szCs w:val="18"/>
        </w:rPr>
        <w:fldChar w:fldCharType="end"/>
      </w:r>
    </w:p>
  </w:footnote>
  <w:footnote w:id="13">
    <w:p w14:paraId="3CDFF330"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w:t>
      </w:r>
      <w:r w:rsidRPr="009F3034">
        <w:rPr>
          <w:szCs w:val="18"/>
        </w:rPr>
        <w:fldChar w:fldCharType="begin"/>
      </w:r>
      <w:r w:rsidRPr="009F3034">
        <w:rPr>
          <w:szCs w:val="18"/>
        </w:rPr>
        <w:instrText xml:space="preserve"> ADDIN ZOTERO_ITEM CSL_CITATION {"citationID":"buEaZ8G6","properties":{"formattedCitation":"Sipavi\\uc0\\u269{}ien\\uc0\\u279{}, Jer\\uc0\\u353{}ovas, and Stankevi\\uc0\\u269{}i\\uc0\\u363{}t\\uc0\\u279{}, 7.","plainCitation":"Sipavičienė, Jeršovas, and Stankevičiūtė, 7.","noteIndex":18},"citationItems":[{"id":1315,"uris":["http://zotero.org/users/1614103/items/Z7ASCALD"],"uri":["http://zotero.org/users/1614103/items/Z7ASCALD"],"itemData":{"id":1315,"type":"report","title":"Verslo ir investicijų pritraukimas į Lietuvą: migracijos ir migracijos politikos vaidmuo [Attracting business and investment into Lithuania: the role of migration and migration politics]","publisher":"European Migration Network, IOM Vilnius Office","URL":"http://emn.lt/wp-content/uploads/2015/10/Verslo-ir-investicij%C5%B3-pritraukimas-%C4%AF-Lietuv%C4%85.pdf","author":[{"family":"Sipavičienė","given":"Audra"},{"family":"Jeršovas","given":"Mantas"},{"family":"Stankevičiūtė","given":"Agnė"}],"issued":{"date-parts":[["2015"]]},"accessed":{"date-parts":[["2018",2,27]]}},"locator":"7"}],"schema":"https://github.com/citation-style-language/schema/raw/master/csl-citation.json"} </w:instrText>
      </w:r>
      <w:r w:rsidRPr="009F3034">
        <w:rPr>
          <w:szCs w:val="18"/>
        </w:rPr>
        <w:fldChar w:fldCharType="separate"/>
      </w:r>
      <w:r w:rsidRPr="009F3034">
        <w:rPr>
          <w:szCs w:val="18"/>
        </w:rPr>
        <w:t>Sipavičienė, Jeršovas, and Stankevičiūtė, 7.</w:t>
      </w:r>
      <w:r w:rsidRPr="009F3034">
        <w:rPr>
          <w:szCs w:val="18"/>
        </w:rPr>
        <w:fldChar w:fldCharType="end"/>
      </w:r>
    </w:p>
  </w:footnote>
  <w:footnote w:id="14">
    <w:p w14:paraId="76814ADB"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Lithuania introduced the euro on 1 January 2015.</w:t>
      </w:r>
    </w:p>
  </w:footnote>
  <w:footnote w:id="15">
    <w:p w14:paraId="5921AC44" w14:textId="77777777" w:rsidR="009F3034" w:rsidRPr="009F3034" w:rsidRDefault="009F3034" w:rsidP="009F3034">
      <w:pPr>
        <w:pStyle w:val="FootnoteText"/>
        <w:jc w:val="left"/>
        <w:rPr>
          <w:szCs w:val="18"/>
          <w:lang w:val="es-ES"/>
        </w:rPr>
      </w:pPr>
      <w:r w:rsidRPr="009F3034">
        <w:rPr>
          <w:rStyle w:val="FootnoteReference"/>
          <w:szCs w:val="18"/>
        </w:rPr>
        <w:footnoteRef/>
      </w:r>
      <w:r w:rsidRPr="009F3034">
        <w:rPr>
          <w:szCs w:val="18"/>
        </w:rPr>
        <w:t xml:space="preserve"> Law Amending the Law on the Legal Status of Aliens (Lietuvos Respublikos įstatymo „Dėl užsieniečių teisinės padėties“ Nr. </w:t>
      </w:r>
      <w:r w:rsidRPr="009F3034">
        <w:rPr>
          <w:szCs w:val="18"/>
          <w:lang w:val="es-ES"/>
        </w:rPr>
        <w:t xml:space="preserve">IX-2206 2, 4, 19, 21, 26, 32, 33, 34, 35, 36, 40, 43, 44, 44-1, 45, 46, 49-2, 50, 51, 57, 58, 62, 64, 71, 94, 101, 104, 128, 141 straipsnių pakeitimo ir 141-1 straipsnio pripažinimo netekusiu galios įstatymas), TAR No. 9973, 2014-09973, available at </w:t>
      </w:r>
      <w:hyperlink r:id="rId4" w:history="1">
        <w:r w:rsidRPr="009F3034">
          <w:rPr>
            <w:rStyle w:val="Hyperlink"/>
            <w:szCs w:val="18"/>
            <w:lang w:val="es-ES"/>
          </w:rPr>
          <w:t>https://www.e-tar.lt/portal/en/legalAct/62104290083111e4b836947d492f2f50</w:t>
        </w:r>
      </w:hyperlink>
      <w:r w:rsidRPr="009F3034">
        <w:rPr>
          <w:szCs w:val="18"/>
          <w:lang w:val="es-ES"/>
        </w:rPr>
        <w:t xml:space="preserve">. </w:t>
      </w:r>
    </w:p>
  </w:footnote>
  <w:footnote w:id="16">
    <w:p w14:paraId="7BDA9E84"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Information with the Migration Department; competent authority on migration issues; 28 February 2018.</w:t>
      </w:r>
    </w:p>
  </w:footnote>
  <w:footnote w:id="17">
    <w:p w14:paraId="0D002AC9"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w:t>
      </w:r>
      <w:r w:rsidRPr="009F3034">
        <w:rPr>
          <w:szCs w:val="18"/>
        </w:rPr>
        <w:fldChar w:fldCharType="begin"/>
      </w:r>
      <w:r w:rsidRPr="009F3034">
        <w:rPr>
          <w:szCs w:val="18"/>
        </w:rPr>
        <w:instrText xml:space="preserve"> ADDIN ZOTERO_ITEM CSL_CITATION {"citationID":"sNFo6WP7","properties":{"formattedCitation":"Sipavi\\uc0\\u269{}ien\\uc0\\u279{}, Jer\\uc0\\u353{}ovas, and Stankevi\\uc0\\u269{}i\\uc0\\u363{}t\\uc0\\u279{}, \\uc0\\u8220{}Verslo Ir Investicij\\uc0\\u371{} Pritraukimas \\uc0\\u303{} Lietuv\\uc0\\u261{}: Migracijos Ir Migracijos Politikos Vaidmuo [Attracting Business and Investment into Lithuania: The Role of Migration and Migration Politics],\\uc0\\u8221{} 8.","plainCitation":"Sipavičienė, Jeršovas, and Stankevičiūtė, “Verslo Ir Investicijų Pritraukimas į Lietuvą: Migracijos Ir Migracijos Politikos Vaidmuo [Attracting Business and Investment into Lithuania: The Role of Migration and Migration Politics],” 8.","noteIndex":22},"citationItems":[{"id":1315,"uris":["http://zotero.org/users/1614103/items/Z7ASCALD"],"uri":["http://zotero.org/users/1614103/items/Z7ASCALD"],"itemData":{"id":1315,"type":"report","title":"Verslo ir investicijų pritraukimas į Lietuvą: migracijos ir migracijos politikos vaidmuo [Attracting business and investment into Lithuania: the role of migration and migration politics]","publisher":"European Migration Network, IOM Vilnius Office","URL":"http://emn.lt/wp-content/uploads/2015/10/Verslo-ir-investicij%C5%B3-pritraukimas-%C4%AF-Lietuv%C4%85.pdf","author":[{"family":"Sipavičienė","given":"Audra"},{"family":"Jeršovas","given":"Mantas"},{"family":"Stankevičiūtė","given":"Agnė"}],"issued":{"date-parts":[["2015"]]},"accessed":{"date-parts":[["2018",2,27]]}},"locator":"8"}],"schema":"https://github.com/citation-style-language/schema/raw/master/csl-citation.json"} </w:instrText>
      </w:r>
      <w:r w:rsidRPr="009F3034">
        <w:rPr>
          <w:szCs w:val="18"/>
        </w:rPr>
        <w:fldChar w:fldCharType="separate"/>
      </w:r>
      <w:r w:rsidRPr="009F3034">
        <w:rPr>
          <w:szCs w:val="18"/>
        </w:rPr>
        <w:t>Sipavičienė, Jeršovas, and Stankevičiūtė, “Verslo Ir Investicijų Pritraukimas į Lietuvą: Migracijos Ir Migracijos Politikos Vaidmuo [Attracting Business and Investment into Lithuania: The Role of Migration and Migration Politics],” 8.</w:t>
      </w:r>
      <w:r w:rsidRPr="009F3034">
        <w:rPr>
          <w:szCs w:val="18"/>
        </w:rPr>
        <w:fldChar w:fldCharType="end"/>
      </w:r>
    </w:p>
  </w:footnote>
  <w:footnote w:id="18">
    <w:p w14:paraId="20B166C7" w14:textId="7DEBFC68"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w:t>
      </w:r>
      <w:r w:rsidRPr="009F3034">
        <w:rPr>
          <w:szCs w:val="18"/>
        </w:rPr>
        <w:fldChar w:fldCharType="begin"/>
      </w:r>
      <w:r w:rsidRPr="009F3034">
        <w:rPr>
          <w:szCs w:val="18"/>
        </w:rPr>
        <w:instrText xml:space="preserve"> ADDIN ZOTERO_ITEM CSL_CITATION {"citationID":"nuT3a1Ew","properties":{"formattedCitation":"Sipavi\\uc0\\u269{}ien\\uc0\\u279{}, Jer\\uc0\\u353{}ovas, and Stankevi\\uc0\\u269{}i\\uc0\\u363{}t\\uc0\\u279{}, 46\\uc0\\u8211{}47.","plainCitation":"Sipavičienė, Jeršovas, and Stankevičiūtė, 46–47.","noteIndex":22},"citationItems":[{"id":1315,"uris":["http://zotero.org/users/1614103/items/Z7ASCALD"],"uri":["http://zotero.org/users/1614103/items/Z7ASCALD"],"itemData":{"id":1315,"type":"report","title":"Verslo ir investicijų pritraukimas į Lietuvą: migracijos ir migracijos politikos vaidmuo [Attracting business and investment into Lithuania: the role of migration and migration politics]","publisher":"European Migration Network, IOM Vilnius Office","URL":"http://emn.lt/wp-content/uploads/2015/10/Verslo-ir-investicij%C5%B3-pritraukimas-%C4%AF-Lietuv%C4%85.pdf","author":[{"family":"Sipavičienė","given":"Audra"},{"family":"Jeršovas","given":"Mantas"},{"family":"Stankevičiūtė","given":"Agnė"}],"issued":{"date-parts":[["2015"]]},"accessed":{"date-parts":[["2018",2,27]]}},"locator":"46-47"}],"schema":"https://github.com/citation-style-language/schema/raw/master/csl-citation.json"} </w:instrText>
      </w:r>
      <w:r w:rsidRPr="009F3034">
        <w:rPr>
          <w:szCs w:val="18"/>
        </w:rPr>
        <w:fldChar w:fldCharType="separate"/>
      </w:r>
      <w:r w:rsidRPr="009F3034">
        <w:rPr>
          <w:szCs w:val="18"/>
        </w:rPr>
        <w:t>Sipavičienė, Jeršovas, and Stankevičiūtė, 46–47.</w:t>
      </w:r>
      <w:r w:rsidRPr="009F3034">
        <w:rPr>
          <w:szCs w:val="18"/>
        </w:rPr>
        <w:fldChar w:fldCharType="end"/>
      </w:r>
    </w:p>
  </w:footnote>
  <w:footnote w:id="19">
    <w:p w14:paraId="5A762C2C"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Information with the Migration Department; competent authority on migration issues; 28 February 2018.</w:t>
      </w:r>
    </w:p>
  </w:footnote>
  <w:footnote w:id="20">
    <w:p w14:paraId="028974F2"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These investment levels were introduced without much consultation on what the appropriate levels should be – the figures were quite arbitrary; Information with the Migration Department; competent authority on migration issues; 28 February 2018.</w:t>
      </w:r>
    </w:p>
  </w:footnote>
  <w:footnote w:id="21">
    <w:p w14:paraId="58D1AABB" w14:textId="566E2242"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45.1(1) LLSA.</w:t>
      </w:r>
    </w:p>
  </w:footnote>
  <w:footnote w:id="22">
    <w:p w14:paraId="32EFF19F" w14:textId="6DAD1473" w:rsidR="009F3034" w:rsidRPr="009F3034" w:rsidRDefault="009F3034" w:rsidP="009F3034">
      <w:pPr>
        <w:pStyle w:val="FootnoteText"/>
        <w:jc w:val="left"/>
        <w:rPr>
          <w:szCs w:val="18"/>
          <w:lang w:val="en-US"/>
        </w:rPr>
      </w:pPr>
      <w:r w:rsidRPr="009F3034">
        <w:rPr>
          <w:rStyle w:val="FootnoteReference"/>
          <w:szCs w:val="18"/>
        </w:rPr>
        <w:footnoteRef/>
      </w:r>
      <w:r w:rsidRPr="009F3034">
        <w:rPr>
          <w:szCs w:val="18"/>
        </w:rPr>
        <w:t xml:space="preserve"> </w:t>
      </w:r>
      <w:r w:rsidRPr="009F3034">
        <w:rPr>
          <w:bCs/>
          <w:szCs w:val="18"/>
        </w:rPr>
        <w:t xml:space="preserve">After the 2017 amendments, </w:t>
      </w:r>
      <w:r w:rsidRPr="009F3034">
        <w:rPr>
          <w:szCs w:val="18"/>
        </w:rPr>
        <w:t>the three full-time employees condition was removed for foreign investors in the lower level (small investment), only requiring them to employ at least one full-time worker who receives a high salary.</w:t>
      </w:r>
    </w:p>
  </w:footnote>
  <w:footnote w:id="23">
    <w:p w14:paraId="62BC212E" w14:textId="48894102"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The bruto average monthly salary (BDU) for the third quarter of 2017 was 842.7 euro; see </w:t>
      </w:r>
      <w:r w:rsidRPr="009F3034">
        <w:rPr>
          <w:szCs w:val="18"/>
        </w:rPr>
        <w:fldChar w:fldCharType="begin"/>
      </w:r>
      <w:r w:rsidRPr="009F3034">
        <w:rPr>
          <w:szCs w:val="18"/>
        </w:rPr>
        <w:instrText xml:space="preserve"> ADDIN ZOTERO_ITEM CSL_CITATION {"citationID":"eqF8iIDt","properties":{"formattedCitation":"SoDra, \\uc0\\u8220{}Core Social Indicators (Pagrindiniai Socialiniai Rodikliai),\\uc0\\u8221{} accessed March 6, 2018, http://www.sodra.lt/lt/situacijos/statistika/pagrindiniai-socialiniai-rodikliai.","plainCitation":"SoDra, “Core Social Indicators (Pagrindiniai Socialiniai Rodikliai),” accessed March 6, 2018, http://www.sodra.lt/lt/situacijos/statistika/pagrindiniai-socialiniai-rodikliai.","noteIndex":28},"citationItems":[{"id":1323,"uris":["http://zotero.org/users/1614103/items/CLQ2XNFN"],"uri":["http://zotero.org/users/1614103/items/CLQ2XNFN"],"itemData":{"id":1323,"type":"webpage","title":"Core social indicators (Pagrindiniai socialiniai rodikliai)","URL":"http://www.sodra.lt/lt/situacijos/statistika/pagrindiniai-socialiniai-rodikliai","author":[{"family":"SoDra","given":""}],"accessed":{"date-parts":[["2018",3,6]]}}}],"schema":"https://github.com/citation-style-language/schema/raw/master/csl-citation.json"} </w:instrText>
      </w:r>
      <w:r w:rsidRPr="009F3034">
        <w:rPr>
          <w:szCs w:val="18"/>
        </w:rPr>
        <w:fldChar w:fldCharType="separate"/>
      </w:r>
      <w:r w:rsidRPr="009F3034">
        <w:rPr>
          <w:szCs w:val="18"/>
        </w:rPr>
        <w:t>SoDra, “Core Social Indicators (Pagrindiniai Socialiniai Rodikliai),” accessed March 6, 2018, http://www.sodra.lt/lt/situacijos/statistika/pagrindiniai-socialiniai-rodikliai.</w:t>
      </w:r>
      <w:r w:rsidRPr="009F3034">
        <w:rPr>
          <w:szCs w:val="18"/>
        </w:rPr>
        <w:fldChar w:fldCharType="end"/>
      </w:r>
    </w:p>
  </w:footnote>
  <w:footnote w:id="24">
    <w:p w14:paraId="5AC5337C" w14:textId="6AEC9D78"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45.1(2</w:t>
      </w:r>
      <w:r w:rsidRPr="009F3034">
        <w:rPr>
          <w:szCs w:val="18"/>
          <w:vertAlign w:val="superscript"/>
        </w:rPr>
        <w:t>1</w:t>
      </w:r>
      <w:r w:rsidRPr="009F3034">
        <w:rPr>
          <w:szCs w:val="18"/>
        </w:rPr>
        <w:t>) LLSA.</w:t>
      </w:r>
    </w:p>
  </w:footnote>
  <w:footnote w:id="25">
    <w:p w14:paraId="1D7B2D21"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w:t>
      </w:r>
      <w:r w:rsidRPr="009F3034">
        <w:rPr>
          <w:szCs w:val="18"/>
        </w:rPr>
        <w:fldChar w:fldCharType="begin"/>
      </w:r>
      <w:r w:rsidRPr="009F3034">
        <w:rPr>
          <w:szCs w:val="18"/>
        </w:rPr>
        <w:instrText xml:space="preserve"> ADDIN ZOTERO_ITEM CSL_CITATION {"citationID":"kYfv8POp","properties":{"formattedCitation":"Sipavi\\uc0\\u269{}ien\\uc0\\u279{}, Jer\\uc0\\u353{}ovas, and Stankevi\\uc0\\u269{}i\\uc0\\u363{}t\\uc0\\u279{}, \\uc0\\u8220{}Verslo Ir Investicij\\uc0\\u371{} Pritraukimas \\uc0\\u303{} Lietuv\\uc0\\u261{}: Migracijos Ir Migracijos Politikos Vaidmuo [Attracting Business and Investment into Lithuania: The Role of Migration and Migration Politics],\\uc0\\u8221{} 25.","plainCitation":"Sipavičienė, Jeršovas, and Stankevičiūtė, “Verslo Ir Investicijų Pritraukimas į Lietuvą: Migracijos Ir Migracijos Politikos Vaidmuo [Attracting Business and Investment into Lithuania: The Role of Migration and Migration Politics],” 25.","noteIndex":25},"citationItems":[{"id":1315,"uris":["http://zotero.org/users/1614103/items/Z7ASCALD"],"uri":["http://zotero.org/users/1614103/items/Z7ASCALD"],"itemData":{"id":1315,"type":"report","title":"Verslo ir investicijų pritraukimas į Lietuvą: migracijos ir migracijos politikos vaidmuo [Attracting business and investment into Lithuania: the role of migration and migration politics]","publisher":"European Migration Network, IOM Vilnius Office","URL":"http://emn.lt/wp-content/uploads/2015/10/Verslo-ir-investicij%C5%B3-pritraukimas-%C4%AF-Lietuv%C4%85.pdf","author":[{"family":"Sipavičienė","given":"Audra"},{"family":"Jeršovas","given":"Mantas"},{"family":"Stankevičiūtė","given":"Agnė"}],"issued":{"date-parts":[["2015"]]},"accessed":{"date-parts":[["2018",2,27]]}},"locator":"25"}],"schema":"https://github.com/citation-style-language/schema/raw/master/csl-citation.json"} </w:instrText>
      </w:r>
      <w:r w:rsidRPr="009F3034">
        <w:rPr>
          <w:szCs w:val="18"/>
        </w:rPr>
        <w:fldChar w:fldCharType="separate"/>
      </w:r>
      <w:r w:rsidRPr="009F3034">
        <w:rPr>
          <w:szCs w:val="18"/>
        </w:rPr>
        <w:t>Sipavičienė, Jeršovas, and Stankevičiūtė, “Verslo Ir Investicijų Pritraukimas į Lietuvą: Migracijos Ir Migracijos Politikos Vaidmuo [Attracting Business and Investment into Lithuania: The Role of Migration and Migration Politics],” 25.</w:t>
      </w:r>
      <w:r w:rsidRPr="009F3034">
        <w:rPr>
          <w:szCs w:val="18"/>
        </w:rPr>
        <w:fldChar w:fldCharType="end"/>
      </w:r>
    </w:p>
  </w:footnote>
  <w:footnote w:id="26">
    <w:p w14:paraId="00EE9610" w14:textId="0397A6CE" w:rsidR="009F3034" w:rsidRPr="009F3034" w:rsidRDefault="009F3034" w:rsidP="009F3034">
      <w:pPr>
        <w:pStyle w:val="FootnoteText"/>
        <w:jc w:val="left"/>
        <w:rPr>
          <w:szCs w:val="18"/>
          <w:lang w:val="lt-LT"/>
        </w:rPr>
      </w:pPr>
      <w:r w:rsidRPr="009F3034">
        <w:rPr>
          <w:rStyle w:val="FootnoteReference"/>
          <w:szCs w:val="18"/>
        </w:rPr>
        <w:footnoteRef/>
      </w:r>
      <w:r w:rsidRPr="009F3034">
        <w:rPr>
          <w:szCs w:val="18"/>
        </w:rPr>
        <w:t xml:space="preserve"> Adapted from </w:t>
      </w:r>
      <w:r w:rsidRPr="009F3034">
        <w:rPr>
          <w:szCs w:val="18"/>
        </w:rPr>
        <w:fldChar w:fldCharType="begin"/>
      </w:r>
      <w:r w:rsidRPr="009F3034">
        <w:rPr>
          <w:szCs w:val="18"/>
        </w:rPr>
        <w:instrText xml:space="preserve"> ADDIN ZOTERO_ITEM CSL_CITATION {"citationID":"GBSAq784","properties":{"formattedCitation":"National Audit Office of Lithuania, \\uc0\\u8220{}I\\uc0\\u353{}ankstinio Tyrimo Ataskaita: Immigracijos Proces\\uc0\\u371{} Valdymas [Preliminary Findings: Administration of Immigration Processes]\\uc0\\u8221{} (Vilnius: Valstyb\\uc0\\u279{}s Kontrol\\uc0\\u279{}, 2015), https://www.vkontrole.lt/failas.aspx?id=3327.","plainCitation":"National Audit Office of Lithuania, “Išankstinio Tyrimo Ataskaita: Immigracijos Procesų Valdymas [Preliminary Findings: Administration of Immigration Processes]” (Vilnius: Valstybės Kontrolė, 2015), https://www.vkontrole.lt/failas.aspx?id=3327.","noteIndex":31},"citationItems":[{"id":1326,"uris":["http://zotero.org/users/1614103/items/42S7A7EJ"],"uri":["http://zotero.org/users/1614103/items/42S7A7EJ"],"itemData":{"id":1326,"type":"report","title":"Išankstinio tyrimo ataskaita: Immigracijos procesų valdymas [Preliminary findings: Administration of Immigration processes]","publisher":"Valstybės Kontrolė","publisher-place":"Vilnius","event-place":"Vilnius","URL":"https://www.vkontrole.lt/failas.aspx?id=3327","author":[{"family":"National Audit Office of Lithuania","given":""}],"issued":{"date-parts":[["2015"]]},"accessed":{"date-parts":[["2018",3,5]]}}}],"schema":"https://github.com/citation-style-language/schema/raw/master/csl-citation.json"} </w:instrText>
      </w:r>
      <w:r w:rsidRPr="009F3034">
        <w:rPr>
          <w:szCs w:val="18"/>
        </w:rPr>
        <w:fldChar w:fldCharType="separate"/>
      </w:r>
      <w:r w:rsidRPr="009F3034">
        <w:rPr>
          <w:szCs w:val="18"/>
        </w:rPr>
        <w:t>National Audit Office of Lithuania, “Išankstinio Tyrimo Ataskaita: Immigracijos Procesų Valdymas [Preliminary Findings: Administration of Immigration Processes]” (Vilnius: Valstybės Kontrolė, 2015), https://www.vkontrole.lt/failas.aspx?id=3327.</w:t>
      </w:r>
      <w:r w:rsidRPr="009F3034">
        <w:rPr>
          <w:szCs w:val="18"/>
        </w:rPr>
        <w:fldChar w:fldCharType="end"/>
      </w:r>
    </w:p>
  </w:footnote>
  <w:footnote w:id="27">
    <w:p w14:paraId="5BFFA42D" w14:textId="6AF1D7DB" w:rsidR="009F3034" w:rsidRPr="009F3034" w:rsidRDefault="009F3034" w:rsidP="009F3034">
      <w:pPr>
        <w:pStyle w:val="FootnoteText"/>
        <w:jc w:val="left"/>
        <w:rPr>
          <w:szCs w:val="18"/>
        </w:rPr>
      </w:pPr>
      <w:r w:rsidRPr="009F3034">
        <w:rPr>
          <w:rStyle w:val="FootnoteReference"/>
          <w:szCs w:val="18"/>
        </w:rPr>
        <w:footnoteRef/>
      </w:r>
      <w:r w:rsidRPr="009F3034">
        <w:rPr>
          <w:szCs w:val="18"/>
          <w:lang w:val="lt-LT"/>
        </w:rPr>
        <w:t xml:space="preserve"> </w:t>
      </w:r>
      <w:r w:rsidRPr="009F3034">
        <w:rPr>
          <w:szCs w:val="18"/>
        </w:rPr>
        <w:fldChar w:fldCharType="begin"/>
      </w:r>
      <w:r w:rsidRPr="009F3034">
        <w:rPr>
          <w:szCs w:val="18"/>
          <w:lang w:val="lt-LT"/>
        </w:rPr>
        <w:instrText xml:space="preserve"> ADDIN ZOTERO_ITEM CSL_CITATION {"citationID":"Tc4ss4E6","properties":{"formattedCitation":"Sipavi\\uc0\\u269{}ien\\uc0\\u279{}, Jer\\uc0\\u353{}ovas, and Stankevi\\uc0\\u269{}i\\uc0\\u363{}t\\uc0\\u279{}, \\uc0\\u8220{}Verslo Ir Investicij\\uc0\\u371{} Pritraukimas \\uc0\\u303{} Lietuv\\uc0\\u261{}: Migracijos Ir Migracijos Politikos Vaidmuo [Attracting Business and Investment into Lithuania: The Role of Migration and Migration Politics],\\uc0\\u8221{} 22.","plainCitation":"Sipavičienė, Jeršovas, and Stankevičiūtė, “Verslo Ir Investicijų Pritraukimas į Lietuvą: Migracijos Ir Migracijos Politikos Vaidmuo [Attracting Business and Investment into Lithuania: The Role of Migration and Migration Politics],” 22.","noteIndex":31},"citationItems":[{"id":1315,"uris":["http://zotero.org/users/1614103/items/Z7ASCALD"],"uri":["http://zotero.org/users/1614103/items/Z7ASCALD"],"itemData":{"id":1315,"type":"report","title":"Verslo ir investicijų pritraukimas į Lietuvą: migracijos ir migracijos politikos vaidmuo [Attracting business and investment into Lithuania: the role of migration and migration politics]","publisher":"European Migration Network, IOM Vilnius Office","URL":"http://emn.lt/wp-content/uploads/2015/10/Verslo-ir-investicij%C5%B3-pritraukimas-%C4%AF-Lietuv%C4%85.pdf","author":[{"family":"Sipavičienė","given":"Audra"},{"family":"Jeršovas","given":"Mantas"},{"family":"Stankevičiūtė","given":"Agnė"}],"issued":{"date-parts":[["2015"]]},"accessed":{"date-parts":[["2018",2,27]]}},"locator":"22"}],"schema":"https://github.com/citation-style-language/schema/raw/master/csl-citation.json"} </w:instrText>
      </w:r>
      <w:r w:rsidRPr="009F3034">
        <w:rPr>
          <w:szCs w:val="18"/>
        </w:rPr>
        <w:fldChar w:fldCharType="separate"/>
      </w:r>
      <w:r w:rsidRPr="009F3034">
        <w:rPr>
          <w:szCs w:val="18"/>
          <w:lang w:val="lt-LT"/>
        </w:rPr>
        <w:t>Sipavičienė, Jeršovas, and Stankevičiūtė, “Verslo Ir Investicijų Pritraukimas į Lietuvą: Migracijos Ir Migracijos Politikos Vaidmuo [Attracting Business and Investment into Lithuania: The Role of Migration and Migration Politics],” 22.</w:t>
      </w:r>
      <w:r w:rsidRPr="009F3034">
        <w:rPr>
          <w:szCs w:val="18"/>
        </w:rPr>
        <w:fldChar w:fldCharType="end"/>
      </w:r>
      <w:r w:rsidRPr="009F3034">
        <w:rPr>
          <w:szCs w:val="18"/>
          <w:lang w:val="lt-LT"/>
        </w:rPr>
        <w:t xml:space="preserve"> </w:t>
      </w:r>
      <w:r w:rsidRPr="009F3034">
        <w:rPr>
          <w:szCs w:val="18"/>
        </w:rPr>
        <w:t xml:space="preserve">See also </w:t>
      </w:r>
      <w:r w:rsidRPr="009F3034">
        <w:rPr>
          <w:szCs w:val="18"/>
        </w:rPr>
        <w:fldChar w:fldCharType="begin"/>
      </w:r>
      <w:r w:rsidRPr="009F3034">
        <w:rPr>
          <w:szCs w:val="18"/>
        </w:rPr>
        <w:instrText xml:space="preserve"> ADDIN ZOTERO_ITEM CSL_CITATION {"citationID":"F1gRMLMR","properties":{"formattedCitation":"Migration Department, \\uc0\\u8220{}Migration Yearbook (Migracijos Metra\\uc0\\u353{}tis)\\uc0\\u8221{} (Vilnius, 2013), 12, http://www.migracija.lt/index.php?-1704151938.","plainCitation":"Migration Department, “Migration Yearbook (Migracijos Metraštis)” (Vilnius, 2013), 12, http://www.migracija.lt/index.php?-1704151938.","noteIndex":32},"citationItems":[{"id":1320,"uris":["http://zotero.org/users/1614103/items/WUXIZWYC"],"uri":["http://zotero.org/users/1614103/items/WUXIZWYC"],"itemData":{"id":1320,"type":"report","title":"Migration Yearbook (Migracijos metraštis)","publisher-place":"Vilnius","event-place":"Vilnius","URL":"http://www.migracija.lt/index.php?-1704151938","language":"EN","author":[{"family":"Migration Department","given":""}],"issued":{"date-parts":[["2013"]]},"accessed":{"date-parts":[["2018",3,5]]}},"locator":"12"}],"schema":"https://github.com/citation-style-language/schema/raw/master/csl-citation.json"} </w:instrText>
      </w:r>
      <w:r w:rsidRPr="009F3034">
        <w:rPr>
          <w:szCs w:val="18"/>
        </w:rPr>
        <w:fldChar w:fldCharType="separate"/>
      </w:r>
      <w:r w:rsidRPr="009F3034">
        <w:rPr>
          <w:szCs w:val="18"/>
        </w:rPr>
        <w:t>Migration Department, “Migration Yearbook (Migracijos Metraštis)” (Vilnius, 2013), 12, http://www.migracija.lt/index.php?-1704151938.</w:t>
      </w:r>
      <w:r w:rsidRPr="009F3034">
        <w:rPr>
          <w:szCs w:val="18"/>
        </w:rPr>
        <w:fldChar w:fldCharType="end"/>
      </w:r>
    </w:p>
  </w:footnote>
  <w:footnote w:id="28">
    <w:p w14:paraId="794A2D4F"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57.6 LLSA.</w:t>
      </w:r>
    </w:p>
  </w:footnote>
  <w:footnote w:id="29">
    <w:p w14:paraId="2DB928A3" w14:textId="323368D4"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w:t>
      </w:r>
      <w:r w:rsidRPr="009F3034">
        <w:rPr>
          <w:szCs w:val="18"/>
        </w:rPr>
        <w:fldChar w:fldCharType="begin"/>
      </w:r>
      <w:r w:rsidRPr="009F3034">
        <w:rPr>
          <w:szCs w:val="18"/>
        </w:rPr>
        <w:instrText xml:space="preserve"> ADDIN ZOTERO_ITEM CSL_CITATION {"citationID":"wbfgDG67","properties":{"formattedCitation":"Migration Department, \\uc0\\u8220{}Migration Yearbook (Migracijos Metra\\uc0\\u353{}tis),\\uc0\\u8221{} 2013, 13.","plainCitation":"Migration Department, “Migration Yearbook (Migracijos Metraštis),” 2013, 13.","noteIndex":34},"citationItems":[{"id":1320,"uris":["http://zotero.org/users/1614103/items/WUXIZWYC"],"uri":["http://zotero.org/users/1614103/items/WUXIZWYC"],"itemData":{"id":1320,"type":"report","title":"Migration Yearbook (Migracijos metraštis)","publisher-place":"Vilnius","event-place":"Vilnius","URL":"http://www.migracija.lt/index.php?-1704151938","language":"EN","author":[{"family":"Migration Department","given":""}],"issued":{"date-parts":[["2013"]]},"accessed":{"date-parts":[["2018",3,5]]}},"locator":"13"}],"schema":"https://github.com/citation-style-language/schema/raw/master/csl-citation.json"} </w:instrText>
      </w:r>
      <w:r w:rsidRPr="009F3034">
        <w:rPr>
          <w:szCs w:val="18"/>
        </w:rPr>
        <w:fldChar w:fldCharType="separate"/>
      </w:r>
      <w:r w:rsidRPr="009F3034">
        <w:rPr>
          <w:szCs w:val="18"/>
        </w:rPr>
        <w:t>Migration Department, “Migration Yearbook (Migracijos Metraštis),” 2013, 13.</w:t>
      </w:r>
      <w:r w:rsidRPr="009F3034">
        <w:rPr>
          <w:szCs w:val="18"/>
        </w:rPr>
        <w:fldChar w:fldCharType="end"/>
      </w:r>
    </w:p>
  </w:footnote>
  <w:footnote w:id="30">
    <w:p w14:paraId="3358AF49"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11 </w:t>
      </w:r>
      <w:r w:rsidRPr="009F3034">
        <w:rPr>
          <w:color w:val="000000"/>
          <w:szCs w:val="18"/>
        </w:rPr>
        <w:t>Migration Department Regulations.</w:t>
      </w:r>
    </w:p>
  </w:footnote>
  <w:footnote w:id="31">
    <w:p w14:paraId="543F1339"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Order of the Minister of the Interior of the Republic of Lithuania ‘On the Approval of the rules on the issue of temporary residence permits for aliens in the Republic of Lithuania and the rules for the identification of marriages of conveniences, registered partnerships, and fictitious adoptions and companies’ (Lietuvos Respublikos vidaus reikalų ministro įsakymas “Dėl leidimų laikinai gyventi Lietuvos Respublikoje užsieniečiams išdavimo, keitimo, panaikinimo, taip pat įvertinimo, ar santuoka, registruota partnerystė, įvaikinimas ar įmonė yra fiktyvūs, tvarkos aprašo patvirtinimo”), Valstybės žinios No. 126-4509,  1052310ISAK001V-329, available at </w:t>
      </w:r>
      <w:hyperlink r:id="rId5" w:history="1">
        <w:r w:rsidRPr="009F3034">
          <w:rPr>
            <w:rStyle w:val="Hyperlink"/>
            <w:szCs w:val="18"/>
          </w:rPr>
          <w:t>https://www.e-tar.lt/portal/en/legalAct/TAR.7CB7682A04DB/mXscBnPkeU</w:t>
        </w:r>
      </w:hyperlink>
      <w:r w:rsidRPr="009F3034">
        <w:rPr>
          <w:szCs w:val="18"/>
        </w:rPr>
        <w:t>.</w:t>
      </w:r>
    </w:p>
  </w:footnote>
  <w:footnote w:id="32">
    <w:p w14:paraId="12D160FB"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45.4 LLSA.</w:t>
      </w:r>
    </w:p>
  </w:footnote>
  <w:footnote w:id="33">
    <w:p w14:paraId="0582268C"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6 TRP Rules.</w:t>
      </w:r>
    </w:p>
  </w:footnote>
  <w:footnote w:id="34">
    <w:p w14:paraId="6D0D8686"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w:t>
      </w:r>
      <w:r w:rsidRPr="009F3034">
        <w:rPr>
          <w:szCs w:val="18"/>
          <w:lang w:eastAsia="lt-LT"/>
        </w:rPr>
        <w:t>6</w:t>
      </w:r>
      <w:r w:rsidRPr="009F3034">
        <w:rPr>
          <w:szCs w:val="18"/>
          <w:vertAlign w:val="superscript"/>
          <w:lang w:eastAsia="lt-LT"/>
        </w:rPr>
        <w:t>1</w:t>
      </w:r>
      <w:r w:rsidRPr="009F3034">
        <w:rPr>
          <w:szCs w:val="18"/>
        </w:rPr>
        <w:t xml:space="preserve">, </w:t>
      </w:r>
      <w:r w:rsidRPr="009F3034">
        <w:rPr>
          <w:szCs w:val="18"/>
          <w:lang w:eastAsia="lt-LT"/>
        </w:rPr>
        <w:t>6</w:t>
      </w:r>
      <w:r w:rsidRPr="009F3034">
        <w:rPr>
          <w:szCs w:val="18"/>
          <w:vertAlign w:val="superscript"/>
          <w:lang w:eastAsia="lt-LT"/>
        </w:rPr>
        <w:t>1</w:t>
      </w:r>
      <w:r w:rsidRPr="009F3034">
        <w:rPr>
          <w:szCs w:val="18"/>
        </w:rPr>
        <w:t xml:space="preserve">.1, </w:t>
      </w:r>
      <w:r w:rsidRPr="009F3034">
        <w:rPr>
          <w:szCs w:val="18"/>
          <w:lang w:eastAsia="lt-LT"/>
        </w:rPr>
        <w:t>6</w:t>
      </w:r>
      <w:r w:rsidRPr="009F3034">
        <w:rPr>
          <w:szCs w:val="18"/>
          <w:vertAlign w:val="superscript"/>
          <w:lang w:eastAsia="lt-LT"/>
        </w:rPr>
        <w:t>1</w:t>
      </w:r>
      <w:r w:rsidRPr="009F3034">
        <w:rPr>
          <w:szCs w:val="18"/>
        </w:rPr>
        <w:t xml:space="preserve">.2, </w:t>
      </w:r>
      <w:r w:rsidRPr="009F3034">
        <w:rPr>
          <w:szCs w:val="18"/>
          <w:lang w:eastAsia="lt-LT"/>
        </w:rPr>
        <w:t>7</w:t>
      </w:r>
      <w:r w:rsidRPr="009F3034">
        <w:rPr>
          <w:szCs w:val="18"/>
          <w:vertAlign w:val="superscript"/>
          <w:lang w:eastAsia="lt-LT"/>
        </w:rPr>
        <w:t>1</w:t>
      </w:r>
      <w:r w:rsidRPr="009F3034">
        <w:rPr>
          <w:szCs w:val="18"/>
        </w:rPr>
        <w:t xml:space="preserve"> TRP Rules.</w:t>
      </w:r>
    </w:p>
  </w:footnote>
  <w:footnote w:id="35">
    <w:p w14:paraId="3AEEAF54"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Articles </w:t>
      </w:r>
      <w:r w:rsidRPr="009F3034">
        <w:rPr>
          <w:szCs w:val="18"/>
          <w:lang w:eastAsia="lt-LT"/>
        </w:rPr>
        <w:t>6</w:t>
      </w:r>
      <w:r w:rsidRPr="009F3034">
        <w:rPr>
          <w:szCs w:val="18"/>
          <w:vertAlign w:val="superscript"/>
          <w:lang w:eastAsia="lt-LT"/>
        </w:rPr>
        <w:t>2</w:t>
      </w:r>
      <w:r w:rsidRPr="009F3034">
        <w:rPr>
          <w:szCs w:val="18"/>
        </w:rPr>
        <w:t xml:space="preserve">, </w:t>
      </w:r>
      <w:r w:rsidRPr="009F3034">
        <w:rPr>
          <w:color w:val="000000"/>
          <w:szCs w:val="18"/>
          <w:lang w:eastAsia="lt-LT"/>
        </w:rPr>
        <w:t>7</w:t>
      </w:r>
      <w:r w:rsidRPr="009F3034">
        <w:rPr>
          <w:color w:val="000000"/>
          <w:szCs w:val="18"/>
          <w:vertAlign w:val="superscript"/>
          <w:lang w:eastAsia="lt-LT"/>
        </w:rPr>
        <w:t>2</w:t>
      </w:r>
      <w:r w:rsidRPr="009F3034">
        <w:rPr>
          <w:szCs w:val="18"/>
        </w:rPr>
        <w:t>, TRP Rules.</w:t>
      </w:r>
    </w:p>
  </w:footnote>
  <w:footnote w:id="36">
    <w:p w14:paraId="71C8EBAD"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8</w:t>
      </w:r>
      <w:r w:rsidRPr="009F3034">
        <w:rPr>
          <w:color w:val="000000"/>
          <w:szCs w:val="18"/>
          <w:vertAlign w:val="superscript"/>
          <w:lang w:eastAsia="lt-LT"/>
        </w:rPr>
        <w:t xml:space="preserve"> </w:t>
      </w:r>
      <w:r w:rsidRPr="009F3034">
        <w:rPr>
          <w:szCs w:val="18"/>
        </w:rPr>
        <w:t>TRP Rules.</w:t>
      </w:r>
    </w:p>
  </w:footnote>
  <w:footnote w:id="37">
    <w:p w14:paraId="44063499"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9</w:t>
      </w:r>
      <w:r w:rsidRPr="009F3034">
        <w:rPr>
          <w:color w:val="000000"/>
          <w:szCs w:val="18"/>
          <w:vertAlign w:val="superscript"/>
          <w:lang w:eastAsia="lt-LT"/>
        </w:rPr>
        <w:t xml:space="preserve"> </w:t>
      </w:r>
      <w:r w:rsidRPr="009F3034">
        <w:rPr>
          <w:szCs w:val="18"/>
        </w:rPr>
        <w:t>TRP Rules.</w:t>
      </w:r>
    </w:p>
  </w:footnote>
  <w:footnote w:id="38">
    <w:p w14:paraId="3D1CA906" w14:textId="3DD59E70" w:rsidR="009F3034" w:rsidRPr="009F3034" w:rsidRDefault="009F3034" w:rsidP="009F3034">
      <w:pPr>
        <w:pStyle w:val="FootnoteText"/>
        <w:jc w:val="left"/>
        <w:rPr>
          <w:szCs w:val="18"/>
          <w:lang w:val="lt-LT"/>
        </w:rPr>
      </w:pPr>
      <w:r w:rsidRPr="009F3034">
        <w:rPr>
          <w:rStyle w:val="FootnoteReference"/>
          <w:szCs w:val="18"/>
        </w:rPr>
        <w:footnoteRef/>
      </w:r>
      <w:r w:rsidRPr="009F3034">
        <w:rPr>
          <w:szCs w:val="18"/>
        </w:rPr>
        <w:t xml:space="preserve"> Article 15</w:t>
      </w:r>
      <w:r w:rsidRPr="009F3034">
        <w:rPr>
          <w:color w:val="000000"/>
          <w:szCs w:val="18"/>
          <w:vertAlign w:val="superscript"/>
          <w:lang w:eastAsia="lt-LT"/>
        </w:rPr>
        <w:t xml:space="preserve"> </w:t>
      </w:r>
      <w:r w:rsidRPr="009F3034">
        <w:rPr>
          <w:szCs w:val="18"/>
        </w:rPr>
        <w:t xml:space="preserve">TRP Rules. Two types of fees are collected: for considering applications and also for later processing TRPs for successful applicants; see </w:t>
      </w:r>
      <w:r w:rsidRPr="009F3034">
        <w:rPr>
          <w:szCs w:val="18"/>
        </w:rPr>
        <w:fldChar w:fldCharType="begin"/>
      </w:r>
      <w:r w:rsidRPr="009F3034">
        <w:rPr>
          <w:szCs w:val="18"/>
        </w:rPr>
        <w:instrText xml:space="preserve"> ADDIN ZOTERO_ITEM CSL_CITATION {"citationID":"gu6oLvR4","properties":{"formattedCitation":"Migration Department, \\uc0\\u8220{}Migracijos Departamentas - Business - The Owner, a Sharer of a Company,\\uc0\\u8221{} accessed March 11, 2018, http://www.migracija.lt/index.php?-921144007.","plainCitation":"Migration Department, “Migracijos Departamentas - Business - The Owner, a Sharer of a Company,” accessed March 11, 2018, http://www.migracija.lt/index.php?-921144007.","noteIndex":45},"citationItems":[{"id":1338,"uris":["http://zotero.org/users/1614103/items/U3JQ6LTT"],"uri":["http://zotero.org/users/1614103/items/U3JQ6LTT"],"itemData":{"id":1338,"type":"webpage","title":"Migracijos departamentas - Business - The owner, a sharer of a company","URL":"http://www.migracija.lt/index.php?-921144007","author":[{"family":"Migration Department","given":""}],"accessed":{"date-parts":[["2018",3,11]]}}}],"schema":"https://github.com/citation-style-language/schema/raw/master/csl-citation.json"} </w:instrText>
      </w:r>
      <w:r w:rsidRPr="009F3034">
        <w:rPr>
          <w:szCs w:val="18"/>
        </w:rPr>
        <w:fldChar w:fldCharType="separate"/>
      </w:r>
      <w:r w:rsidRPr="009F3034">
        <w:rPr>
          <w:szCs w:val="18"/>
        </w:rPr>
        <w:t>Migration Department, “Migracijos Departamentas - Business - The Owner, a Sharer of a Company,” accessed March 11, 2018, http://www.migracija.lt/index.php?-921144007.</w:t>
      </w:r>
      <w:r w:rsidRPr="009F3034">
        <w:rPr>
          <w:szCs w:val="18"/>
        </w:rPr>
        <w:fldChar w:fldCharType="end"/>
      </w:r>
    </w:p>
  </w:footnote>
  <w:footnote w:id="39">
    <w:p w14:paraId="0F8D240C" w14:textId="77777777" w:rsidR="009F3034" w:rsidRPr="009F3034" w:rsidRDefault="009F3034" w:rsidP="009F3034">
      <w:pPr>
        <w:pStyle w:val="FootnoteText"/>
        <w:jc w:val="left"/>
        <w:rPr>
          <w:szCs w:val="18"/>
          <w:lang w:val="lt-LT"/>
        </w:rPr>
      </w:pPr>
      <w:r w:rsidRPr="009F3034">
        <w:rPr>
          <w:rStyle w:val="FootnoteReference"/>
          <w:szCs w:val="18"/>
        </w:rPr>
        <w:footnoteRef/>
      </w:r>
      <w:r w:rsidRPr="009F3034">
        <w:rPr>
          <w:szCs w:val="18"/>
          <w:lang w:val="lt-LT"/>
        </w:rPr>
        <w:t xml:space="preserve"> Article 28.2 LLSA.</w:t>
      </w:r>
    </w:p>
  </w:footnote>
  <w:footnote w:id="40">
    <w:p w14:paraId="34ACA42C" w14:textId="77777777" w:rsidR="009F3034" w:rsidRPr="009F3034" w:rsidRDefault="009F3034" w:rsidP="009F3034">
      <w:pPr>
        <w:pStyle w:val="FootnoteText"/>
        <w:jc w:val="left"/>
        <w:rPr>
          <w:szCs w:val="18"/>
          <w:lang w:val="lt-LT"/>
        </w:rPr>
      </w:pPr>
      <w:r w:rsidRPr="009F3034">
        <w:rPr>
          <w:rStyle w:val="FootnoteReference"/>
          <w:szCs w:val="18"/>
        </w:rPr>
        <w:footnoteRef/>
      </w:r>
      <w:r w:rsidRPr="009F3034">
        <w:rPr>
          <w:szCs w:val="18"/>
          <w:lang w:val="lt-LT"/>
        </w:rPr>
        <w:t xml:space="preserve"> Article 16</w:t>
      </w:r>
      <w:r w:rsidRPr="009F3034">
        <w:rPr>
          <w:color w:val="000000"/>
          <w:szCs w:val="18"/>
          <w:vertAlign w:val="superscript"/>
          <w:lang w:val="lt-LT" w:eastAsia="lt-LT"/>
        </w:rPr>
        <w:t xml:space="preserve"> </w:t>
      </w:r>
      <w:r w:rsidRPr="009F3034">
        <w:rPr>
          <w:szCs w:val="18"/>
          <w:lang w:val="lt-LT"/>
        </w:rPr>
        <w:t>TRP Rules. See also Article 6 of the Government Resolution ‘On Lithuanian Republic Consular Fee Tariffs, their Collection and Return’ (Lietuvos Respublikos Vyriausybės nutarimas “Dėl Lietuvos Respublikos konsulinio mokesčio tarifų ir Lietuvos Respublikos konsulinio mokesčio mokėjimo bei grąžinimo tvarkos patvirtinimo”),</w:t>
      </w:r>
      <w:r w:rsidRPr="009F3034">
        <w:rPr>
          <w:color w:val="0070C0"/>
          <w:szCs w:val="18"/>
          <w:lang w:val="lt-LT"/>
        </w:rPr>
        <w:t xml:space="preserve"> </w:t>
      </w:r>
      <w:r w:rsidRPr="009F3034">
        <w:rPr>
          <w:color w:val="333333"/>
          <w:szCs w:val="18"/>
          <w:shd w:val="clear" w:color="auto" w:fill="FFFFFF"/>
          <w:lang w:val="lt-LT"/>
        </w:rPr>
        <w:t>Valstybės žinios No. 90-1751, 0941100NUTA00001135,</w:t>
      </w:r>
      <w:r w:rsidRPr="009F3034">
        <w:rPr>
          <w:szCs w:val="18"/>
          <w:lang w:val="lt-LT"/>
        </w:rPr>
        <w:t xml:space="preserve"> available at </w:t>
      </w:r>
      <w:hyperlink r:id="rId6" w:history="1">
        <w:r w:rsidRPr="009F3034">
          <w:rPr>
            <w:rStyle w:val="Hyperlink"/>
            <w:szCs w:val="18"/>
            <w:lang w:val="lt-LT"/>
          </w:rPr>
          <w:t>https://www.e-tar.lt/portal/en/legalAct/TAR.CD24C5B1E90F/ZNzAHuZSkR</w:t>
        </w:r>
      </w:hyperlink>
      <w:r w:rsidRPr="009F3034">
        <w:rPr>
          <w:szCs w:val="18"/>
          <w:lang w:val="lt-LT"/>
        </w:rPr>
        <w:t xml:space="preserve">. </w:t>
      </w:r>
    </w:p>
  </w:footnote>
  <w:footnote w:id="41">
    <w:p w14:paraId="08FC85F9" w14:textId="28B6861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 valid travel document; a valid document granting the right to be in the territory of the Lithuanian Republic; the permanent residence permit (if the application is to renew it); a photograph that meets the prescribed legal requirements; the documents confirming the grounds for the residence application as a foreign investor; documents confirming the required income/maintenance that meets the maintenance levels set by the Ministry of Social Security and Labour; documents confirming that s/he has a suitable place of accommodation in Lithuania which will be the declared permanent residence address, including the relevant ownership/tenancy agreements confirming legal rights to such accommodation; appropriate health insurance; documents confirming their place(s) of residence abroad in the last two years preceding the application; confirmation from the relevant authorities as to their previous criminal convictions noting any unspent sentences; receipt of the payment of the TRP application state fees.</w:t>
      </w:r>
    </w:p>
  </w:footnote>
  <w:footnote w:id="42">
    <w:p w14:paraId="67D45C07" w14:textId="500F0B2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Company’s establishment/purchase documents and company’s articles of association; business plan; documents confirming that 6 months prior to the application for the TRP the company was commercially active in Lithuania (e.g. contracts with suppliers or clients; company’s bank account statements; annual corporate tax declaration; contract for hire of business premised etc); documents evidencing that the company employs at least one full-time employee who receives the total minimum pay of at least two gross average monthly salaries (BDU) measured at the last financial quarter, as announced by the Statistics Lithuania (e.g. an employment contract); documents evidencing that the share capital (if a joint stock company) or the value of the overall business assets is at least EUR 28,000, from which at least EUR 14,000 is the investor’s personal investment (e.g. financial accounts; the balance sheet); documents evidencing that the foreigner participates in the company (either as owner, “manager of the enterprise”, or a shareholder who owns at least one third of the nominal value of the registered company’s share capital).</w:t>
      </w:r>
    </w:p>
  </w:footnote>
  <w:footnote w:id="43">
    <w:p w14:paraId="63738B56" w14:textId="623A1C79"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Company’s establishment/purchase documents and company’s articles of association; business plan; documents confirming that 6 months prior to the application for the TRP the company was commercially active in Lithuania (e.g. contracts with suppliers or clients; company’s bank account statements; annual corporate tax declaration; contract for hire of business premised etc); documents evidencing that the company employs at least five full-time employees (e.g. employment contracts), as announced by the Statistics Lithuania (e.g. an employment contract); documents evidencing that the foreign investor personally invested in this company at least EUR 260,000 investment; documents evidencing that the foreigner participates in the company (either as owner, “manager of the enterprise”, or a shareholder who owns at least one third of the nominal value of the registered company’s share capital).</w:t>
      </w:r>
    </w:p>
  </w:footnote>
  <w:footnote w:id="44">
    <w:p w14:paraId="5E22EE38" w14:textId="77777777" w:rsidR="009F3034" w:rsidRPr="009F3034" w:rsidRDefault="009F3034" w:rsidP="009F3034">
      <w:pPr>
        <w:pStyle w:val="FootnoteText"/>
        <w:jc w:val="left"/>
        <w:rPr>
          <w:szCs w:val="18"/>
          <w:lang w:val="lt-LT"/>
        </w:rPr>
      </w:pPr>
      <w:r w:rsidRPr="009F3034">
        <w:rPr>
          <w:rStyle w:val="FootnoteReference"/>
          <w:szCs w:val="18"/>
        </w:rPr>
        <w:footnoteRef/>
      </w:r>
      <w:r w:rsidRPr="009F3034">
        <w:rPr>
          <w:szCs w:val="18"/>
        </w:rPr>
        <w:t xml:space="preserve"> Article 39 TRP Rules.</w:t>
      </w:r>
    </w:p>
  </w:footnote>
  <w:footnote w:id="45">
    <w:p w14:paraId="7D19CA0F"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41 TRP Rules.</w:t>
      </w:r>
    </w:p>
  </w:footnote>
  <w:footnote w:id="46">
    <w:p w14:paraId="61699AFB"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40 TRP Rules.</w:t>
      </w:r>
    </w:p>
  </w:footnote>
  <w:footnote w:id="47">
    <w:p w14:paraId="2B6B8100" w14:textId="338544CB"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w:t>
      </w:r>
      <w:r w:rsidRPr="009F3034">
        <w:rPr>
          <w:szCs w:val="18"/>
        </w:rPr>
        <w:fldChar w:fldCharType="begin"/>
      </w:r>
      <w:r w:rsidRPr="009F3034">
        <w:rPr>
          <w:szCs w:val="18"/>
        </w:rPr>
        <w:instrText xml:space="preserve"> ADDIN ZOTERO_ITEM CSL_CITATION {"citationID":"SGTKvDew","properties":{"formattedCitation":"\\uc0\\u8220{}Migration Department - Business.\\uc0\\u8221{}","plainCitation":"“Migration Department - Business.”","noteIndex":51},"citationItems":[{"id":1313,"uris":["http://zotero.org/users/1614103/items/LK5QDLW4"],"uri":["http://zotero.org/users/1614103/items/LK5QDLW4"],"itemData":{"id":1313,"type":"webpage","title":"Migration Department - Business","URL":"http://www.migracija.lt/index.php?1353542618","accessed":{"date-parts":[["2018",2,27]]}}}],"schema":"https://github.com/citation-style-language/schema/raw/master/csl-citation.json"} </w:instrText>
      </w:r>
      <w:r w:rsidRPr="009F3034">
        <w:rPr>
          <w:szCs w:val="18"/>
        </w:rPr>
        <w:fldChar w:fldCharType="separate"/>
      </w:r>
      <w:r w:rsidRPr="009F3034">
        <w:rPr>
          <w:szCs w:val="18"/>
        </w:rPr>
        <w:t>“Migration Department - Business.”</w:t>
      </w:r>
      <w:r w:rsidRPr="009F3034">
        <w:rPr>
          <w:szCs w:val="18"/>
        </w:rPr>
        <w:fldChar w:fldCharType="end"/>
      </w:r>
    </w:p>
  </w:footnote>
  <w:footnote w:id="48">
    <w:p w14:paraId="0B31CD9A" w14:textId="72CA9083"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As defined under Articles 45.1(1), 45.1(2), 45.1(2</w:t>
      </w:r>
      <w:r w:rsidRPr="009F3034">
        <w:rPr>
          <w:szCs w:val="18"/>
          <w:vertAlign w:val="superscript"/>
        </w:rPr>
        <w:t>1</w:t>
      </w:r>
      <w:r w:rsidRPr="009F3034">
        <w:rPr>
          <w:szCs w:val="18"/>
        </w:rPr>
        <w:t>), LLSA.</w:t>
      </w:r>
    </w:p>
  </w:footnote>
  <w:footnote w:id="49">
    <w:p w14:paraId="10A9399B"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See Articles 43-43.6 TRP Rules.</w:t>
      </w:r>
    </w:p>
  </w:footnote>
  <w:footnote w:id="50">
    <w:p w14:paraId="4713ACAD"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See Articles 44-43.8 TRP Rules.</w:t>
      </w:r>
    </w:p>
  </w:footnote>
  <w:footnote w:id="51">
    <w:p w14:paraId="58D4399F" w14:textId="3C469B54"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Most of these are managed by the State Enterprise Centre of Registers; see </w:t>
      </w:r>
      <w:r w:rsidRPr="009F3034">
        <w:rPr>
          <w:szCs w:val="18"/>
        </w:rPr>
        <w:fldChar w:fldCharType="begin"/>
      </w:r>
      <w:r w:rsidRPr="009F3034">
        <w:rPr>
          <w:szCs w:val="18"/>
        </w:rPr>
        <w:instrText xml:space="preserve"> ADDIN ZOTERO_ITEM CSL_CITATION {"citationID":"fMORzYSM","properties":{"formattedCitation":"\\uc0\\u8220{}SE Centre of Registers,\\uc0\\u8221{} accessed March 11, 2018, http://www.registrucentras.lt/en/.","plainCitation":"“SE Centre of Registers,” accessed March 11, 2018, http://www.registrucentras.lt/en/.","noteIndex":56},"citationItems":[{"id":1344,"uris":["http://zotero.org/users/1614103/items/WA27ZHII"],"uri":["http://zotero.org/users/1614103/items/WA27ZHII"],"itemData":{"id":1344,"type":"webpage","title":"SE Centre of Registers","URL":"http://www.registrucentras.lt/en/","accessed":{"date-parts":[["2018",3,11]]}}}],"schema":"https://github.com/citation-style-language/schema/raw/master/csl-citation.json"} </w:instrText>
      </w:r>
      <w:r w:rsidRPr="009F3034">
        <w:rPr>
          <w:szCs w:val="18"/>
        </w:rPr>
        <w:fldChar w:fldCharType="separate"/>
      </w:r>
      <w:r w:rsidRPr="009F3034">
        <w:rPr>
          <w:szCs w:val="18"/>
        </w:rPr>
        <w:t>“SE Centre of Registers,” accessed March 11, 2018, http://www.registrucentras.lt/en/.</w:t>
      </w:r>
      <w:r w:rsidRPr="009F3034">
        <w:rPr>
          <w:szCs w:val="18"/>
        </w:rPr>
        <w:fldChar w:fldCharType="end"/>
      </w:r>
    </w:p>
  </w:footnote>
  <w:footnote w:id="52">
    <w:p w14:paraId="60B35B42"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w:t>
      </w:r>
      <w:r w:rsidRPr="009F3034">
        <w:rPr>
          <w:rFonts w:eastAsia="Calibri"/>
          <w:color w:val="000000"/>
          <w:szCs w:val="18"/>
        </w:rPr>
        <w:t xml:space="preserve">44.7.1 </w:t>
      </w:r>
      <w:r w:rsidRPr="009F3034">
        <w:rPr>
          <w:szCs w:val="18"/>
        </w:rPr>
        <w:t>TRP Rules.</w:t>
      </w:r>
    </w:p>
  </w:footnote>
  <w:footnote w:id="53">
    <w:p w14:paraId="5BC0CC4A"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w:t>
      </w:r>
      <w:r w:rsidRPr="009F3034">
        <w:rPr>
          <w:color w:val="000000"/>
          <w:szCs w:val="18"/>
        </w:rPr>
        <w:t xml:space="preserve">44.9.1 </w:t>
      </w:r>
      <w:r w:rsidRPr="009F3034">
        <w:rPr>
          <w:szCs w:val="18"/>
        </w:rPr>
        <w:t>TRP Rules.</w:t>
      </w:r>
    </w:p>
  </w:footnote>
  <w:footnote w:id="54">
    <w:p w14:paraId="0E6A2082"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Articles 17.7 and 33 TRP Rules.</w:t>
      </w:r>
    </w:p>
  </w:footnote>
  <w:footnote w:id="55">
    <w:p w14:paraId="186DC4BD"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w:t>
      </w:r>
      <w:r w:rsidRPr="009F3034">
        <w:rPr>
          <w:color w:val="000000"/>
          <w:szCs w:val="18"/>
          <w:lang w:eastAsia="lt-LT"/>
        </w:rPr>
        <w:t xml:space="preserve">44.9.2 </w:t>
      </w:r>
      <w:r w:rsidRPr="009F3034">
        <w:rPr>
          <w:szCs w:val="18"/>
        </w:rPr>
        <w:t>TRP Rules.</w:t>
      </w:r>
    </w:p>
  </w:footnote>
  <w:footnote w:id="56">
    <w:p w14:paraId="46215243" w14:textId="74DEE252"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w:t>
      </w:r>
      <w:r w:rsidRPr="009F3034">
        <w:rPr>
          <w:szCs w:val="18"/>
        </w:rPr>
        <w:fldChar w:fldCharType="begin"/>
      </w:r>
      <w:r w:rsidRPr="009F3034">
        <w:rPr>
          <w:szCs w:val="18"/>
        </w:rPr>
        <w:instrText xml:space="preserve"> ADDIN ZOTERO_ITEM CSL_CITATION {"citationID":"ZrFoWovf","properties":{"formattedCitation":"Sipavi\\uc0\\u269{}ien\\uc0\\u279{}, Jer\\uc0\\u353{}ovas, and Stankevi\\uc0\\u269{}i\\uc0\\u363{}t\\uc0\\u279{}, \\uc0\\u8220{}Verslo Ir Investicij\\uc0\\u371{} Pritraukimas \\uc0\\u303{} Lietuv\\uc0\\u261{}: Migracijos Ir Migracijos Politikos Vaidmuo [Attracting Business and Investment into Lithuania: The Role of Migration and Migration Politics],\\uc0\\u8221{} 31, 57\\uc0\\u8211{}58.","plainCitation":"Sipavičienė, Jeršovas, and Stankevičiūtė, “Verslo Ir Investicijų Pritraukimas į Lietuvą: Migracijos Ir Migracijos Politikos Vaidmuo [Attracting Business and Investment into Lithuania: The Role of Migration and Migration Politics],” 31, 57–58.","noteIndex":56},"citationItems":[{"id":1315,"uris":["http://zotero.org/users/1614103/items/Z7ASCALD"],"uri":["http://zotero.org/users/1614103/items/Z7ASCALD"],"itemData":{"id":1315,"type":"report","title":"Verslo ir investicijų pritraukimas į Lietuvą: migracijos ir migracijos politikos vaidmuo [Attracting business and investment into Lithuania: the role of migration and migration politics]","publisher":"European Migration Network, IOM Vilnius Office","URL":"http://emn.lt/wp-content/uploads/2015/10/Verslo-ir-investicij%C5%B3-pritraukimas-%C4%AF-Lietuv%C4%85.pdf","author":[{"family":"Sipavičienė","given":"Audra"},{"family":"Jeršovas","given":"Mantas"},{"family":"Stankevičiūtė","given":"Agnė"}],"issued":{"date-parts":[["2015"]]},"accessed":{"date-parts":[["2018",2,27]]}},"locator":"31, 57-58"}],"schema":"https://github.com/citation-style-language/schema/raw/master/csl-citation.json"} </w:instrText>
      </w:r>
      <w:r w:rsidRPr="009F3034">
        <w:rPr>
          <w:szCs w:val="18"/>
        </w:rPr>
        <w:fldChar w:fldCharType="separate"/>
      </w:r>
      <w:r w:rsidRPr="009F3034">
        <w:rPr>
          <w:szCs w:val="18"/>
        </w:rPr>
        <w:t>Sipavičienė, Jeršovas, and Stankevičiūtė, “Verslo Ir Investicijų Pritraukimas į Lietuvą: Migracijos Ir Migracijos Politikos Vaidmuo [Attracting Business and Investment into Lithuania: The Role of Migration and Migration Politics],” 31, 57–58.</w:t>
      </w:r>
      <w:r w:rsidRPr="009F3034">
        <w:rPr>
          <w:szCs w:val="18"/>
        </w:rPr>
        <w:fldChar w:fldCharType="end"/>
      </w:r>
      <w:r w:rsidRPr="009F3034">
        <w:rPr>
          <w:szCs w:val="18"/>
        </w:rPr>
        <w:t xml:space="preserve"> This report highlights the inconsistency of checks of foreign investors’ applications as problematic. Furthermore, from the stakeholder interviews, it follows that there is no formal supervisory procedure to check </w:t>
      </w:r>
      <w:r w:rsidRPr="009F3034">
        <w:rPr>
          <w:rFonts w:eastAsia="MinionPro-Regular"/>
          <w:szCs w:val="18"/>
          <w:lang w:eastAsia="en-GB"/>
        </w:rPr>
        <w:t xml:space="preserve">immigration officers’ discretion </w:t>
      </w:r>
      <w:r w:rsidRPr="009F3034">
        <w:rPr>
          <w:szCs w:val="18"/>
        </w:rPr>
        <w:t>(e.g. which factors are checked and what documents are requested in practice). The national expert did not discover any information about existence of any ‘internal memos’ stating the criteria, in addition to the TRP Rules. This means that all officers should be following and applying the criteria set out in the TRP Rules.</w:t>
      </w:r>
    </w:p>
  </w:footnote>
  <w:footnote w:id="57">
    <w:p w14:paraId="075DB8BF"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w:t>
      </w:r>
      <w:r w:rsidRPr="009F3034">
        <w:rPr>
          <w:color w:val="000000"/>
          <w:szCs w:val="18"/>
        </w:rPr>
        <w:t xml:space="preserve">49 </w:t>
      </w:r>
      <w:r w:rsidRPr="009F3034">
        <w:rPr>
          <w:szCs w:val="18"/>
        </w:rPr>
        <w:t>TRP Rules.</w:t>
      </w:r>
    </w:p>
  </w:footnote>
  <w:footnote w:id="58">
    <w:p w14:paraId="31853A26"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54 TRP Rules.</w:t>
      </w:r>
    </w:p>
  </w:footnote>
  <w:footnote w:id="59">
    <w:p w14:paraId="5F149793"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69 TRP Rules.</w:t>
      </w:r>
    </w:p>
  </w:footnote>
  <w:footnote w:id="60">
    <w:p w14:paraId="3407BF17"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Articles 70, </w:t>
      </w:r>
      <w:r w:rsidRPr="009F3034">
        <w:rPr>
          <w:color w:val="000000"/>
          <w:szCs w:val="18"/>
          <w:lang w:eastAsia="lt-LT"/>
        </w:rPr>
        <w:t>70.5.1, 70.5.2</w:t>
      </w:r>
      <w:r w:rsidRPr="009F3034">
        <w:rPr>
          <w:szCs w:val="18"/>
        </w:rPr>
        <w:t xml:space="preserve"> TRP Rules.</w:t>
      </w:r>
    </w:p>
  </w:footnote>
  <w:footnote w:id="61">
    <w:p w14:paraId="7C85F65D" w14:textId="0BA27E04" w:rsidR="009F3034" w:rsidRPr="009F3034" w:rsidRDefault="009F3034" w:rsidP="009F3034">
      <w:pPr>
        <w:pStyle w:val="CommentText"/>
        <w:rPr>
          <w:sz w:val="18"/>
          <w:szCs w:val="18"/>
        </w:rPr>
      </w:pPr>
      <w:r w:rsidRPr="009F3034">
        <w:rPr>
          <w:rStyle w:val="FootnoteReference"/>
          <w:sz w:val="18"/>
          <w:szCs w:val="18"/>
        </w:rPr>
        <w:footnoteRef/>
      </w:r>
      <w:r w:rsidRPr="009F3034">
        <w:rPr>
          <w:sz w:val="18"/>
          <w:szCs w:val="18"/>
        </w:rPr>
        <w:t xml:space="preserve"> Articles 6, 12, 14, ANNEX I and ANNEX V of the Schengen Border Code, available at </w:t>
      </w:r>
      <w:hyperlink r:id="rId7" w:history="1">
        <w:r w:rsidRPr="009F3034">
          <w:rPr>
            <w:rStyle w:val="Hyperlink"/>
            <w:sz w:val="18"/>
            <w:szCs w:val="18"/>
          </w:rPr>
          <w:t>https://eur-lex.europa.eu/legal-content/EN/TXT/?uri=celex%3A32016R0399</w:t>
        </w:r>
      </w:hyperlink>
      <w:r w:rsidRPr="009F3034">
        <w:rPr>
          <w:sz w:val="18"/>
          <w:szCs w:val="18"/>
        </w:rPr>
        <w:t xml:space="preserve">. </w:t>
      </w:r>
    </w:p>
  </w:footnote>
  <w:footnote w:id="62">
    <w:p w14:paraId="283AA348"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26 LLSA.</w:t>
      </w:r>
    </w:p>
  </w:footnote>
  <w:footnote w:id="63">
    <w:p w14:paraId="6C96D765" w14:textId="77777777" w:rsidR="009F3034" w:rsidRPr="009F3034" w:rsidRDefault="009F3034" w:rsidP="009F3034">
      <w:pPr>
        <w:pStyle w:val="FootnoteText"/>
        <w:jc w:val="left"/>
        <w:rPr>
          <w:szCs w:val="18"/>
          <w:lang w:val="lt-LT"/>
        </w:rPr>
      </w:pPr>
      <w:r w:rsidRPr="009F3034">
        <w:rPr>
          <w:rStyle w:val="FootnoteReference"/>
          <w:szCs w:val="18"/>
        </w:rPr>
        <w:footnoteRef/>
      </w:r>
      <w:r w:rsidRPr="009F3034">
        <w:rPr>
          <w:szCs w:val="18"/>
        </w:rPr>
        <w:t xml:space="preserve"> </w:t>
      </w:r>
      <w:r w:rsidRPr="009F3034">
        <w:rPr>
          <w:szCs w:val="18"/>
          <w:lang w:val="lt-LT"/>
        </w:rPr>
        <w:t xml:space="preserve">For the institutions that check the potential danger to public order and public security, see Article </w:t>
      </w:r>
      <w:r w:rsidRPr="009F3034">
        <w:rPr>
          <w:szCs w:val="18"/>
        </w:rPr>
        <w:t>4</w:t>
      </w:r>
      <w:r w:rsidRPr="009F3034">
        <w:rPr>
          <w:szCs w:val="18"/>
          <w:lang w:val="lt-LT"/>
        </w:rPr>
        <w:t xml:space="preserve"> LSSA.</w:t>
      </w:r>
    </w:p>
  </w:footnote>
  <w:footnote w:id="64">
    <w:p w14:paraId="71D24083" w14:textId="77777777" w:rsidR="009F3034" w:rsidRPr="009F3034" w:rsidRDefault="009F3034" w:rsidP="009F3034">
      <w:pPr>
        <w:pStyle w:val="FootnoteText"/>
        <w:jc w:val="left"/>
        <w:rPr>
          <w:szCs w:val="18"/>
          <w:lang w:val="lt-LT"/>
        </w:rPr>
      </w:pPr>
      <w:r w:rsidRPr="009F3034">
        <w:rPr>
          <w:rStyle w:val="FootnoteReference"/>
          <w:szCs w:val="18"/>
        </w:rPr>
        <w:footnoteRef/>
      </w:r>
      <w:r w:rsidRPr="009F3034">
        <w:rPr>
          <w:szCs w:val="18"/>
          <w:lang w:val="lt-LT"/>
        </w:rPr>
        <w:t xml:space="preserve"> Article </w:t>
      </w:r>
      <w:r w:rsidRPr="009F3034">
        <w:rPr>
          <w:color w:val="000000"/>
          <w:szCs w:val="18"/>
          <w:lang w:val="lt-LT" w:eastAsia="lt-LT"/>
        </w:rPr>
        <w:t>71.3.1 TRP Rules.</w:t>
      </w:r>
    </w:p>
  </w:footnote>
  <w:footnote w:id="65">
    <w:p w14:paraId="2A01E77D" w14:textId="77777777" w:rsidR="009F3034" w:rsidRPr="009F3034" w:rsidRDefault="009F3034" w:rsidP="009F3034">
      <w:pPr>
        <w:pStyle w:val="FootnoteText"/>
        <w:jc w:val="left"/>
        <w:rPr>
          <w:szCs w:val="18"/>
          <w:lang w:val="lt-LT"/>
        </w:rPr>
      </w:pPr>
      <w:r w:rsidRPr="009F3034">
        <w:rPr>
          <w:rStyle w:val="FootnoteReference"/>
          <w:szCs w:val="18"/>
        </w:rPr>
        <w:footnoteRef/>
      </w:r>
      <w:r w:rsidRPr="009F3034">
        <w:rPr>
          <w:szCs w:val="18"/>
          <w:lang w:val="lt-LT"/>
        </w:rPr>
        <w:t xml:space="preserve"> Article </w:t>
      </w:r>
      <w:r w:rsidRPr="009F3034">
        <w:rPr>
          <w:color w:val="000000"/>
          <w:szCs w:val="18"/>
          <w:lang w:val="lt-LT" w:eastAsia="lt-LT"/>
        </w:rPr>
        <w:t>71.3.2 TRP Rules.</w:t>
      </w:r>
    </w:p>
  </w:footnote>
  <w:footnote w:id="66">
    <w:p w14:paraId="261A70AA" w14:textId="77777777" w:rsidR="009F3034" w:rsidRPr="009F3034" w:rsidRDefault="009F3034" w:rsidP="009F3034">
      <w:pPr>
        <w:pStyle w:val="FootnoteText"/>
        <w:jc w:val="left"/>
        <w:rPr>
          <w:szCs w:val="18"/>
          <w:lang w:val="lt-LT"/>
        </w:rPr>
      </w:pPr>
      <w:r w:rsidRPr="009F3034">
        <w:rPr>
          <w:rStyle w:val="FootnoteReference"/>
          <w:szCs w:val="18"/>
        </w:rPr>
        <w:footnoteRef/>
      </w:r>
      <w:r w:rsidRPr="009F3034">
        <w:rPr>
          <w:szCs w:val="18"/>
          <w:lang w:val="lt-LT"/>
        </w:rPr>
        <w:t xml:space="preserve"> Article </w:t>
      </w:r>
      <w:r w:rsidRPr="009F3034">
        <w:rPr>
          <w:color w:val="000000"/>
          <w:szCs w:val="18"/>
          <w:lang w:val="lt-LT" w:eastAsia="lt-LT"/>
        </w:rPr>
        <w:t>71.3.3 TRP Rules.</w:t>
      </w:r>
    </w:p>
  </w:footnote>
  <w:footnote w:id="67">
    <w:p w14:paraId="5F6103D2" w14:textId="77777777" w:rsidR="009F3034" w:rsidRPr="009F3034" w:rsidRDefault="009F3034" w:rsidP="009F3034">
      <w:pPr>
        <w:pStyle w:val="FootnoteText"/>
        <w:jc w:val="left"/>
        <w:rPr>
          <w:szCs w:val="18"/>
          <w:lang w:val="lt-LT"/>
        </w:rPr>
      </w:pPr>
      <w:r w:rsidRPr="009F3034">
        <w:rPr>
          <w:rStyle w:val="FootnoteReference"/>
          <w:szCs w:val="18"/>
        </w:rPr>
        <w:footnoteRef/>
      </w:r>
      <w:r w:rsidRPr="009F3034">
        <w:rPr>
          <w:szCs w:val="18"/>
          <w:lang w:val="lt-LT"/>
        </w:rPr>
        <w:t xml:space="preserve"> Article </w:t>
      </w:r>
      <w:r w:rsidRPr="009F3034">
        <w:rPr>
          <w:color w:val="000000"/>
          <w:szCs w:val="18"/>
          <w:lang w:val="lt-LT" w:eastAsia="lt-LT"/>
        </w:rPr>
        <w:t>71.3.4 TRP Rules.</w:t>
      </w:r>
    </w:p>
  </w:footnote>
  <w:footnote w:id="68">
    <w:p w14:paraId="27DC75DE" w14:textId="77777777" w:rsidR="009F3034" w:rsidRPr="009F3034" w:rsidRDefault="009F3034" w:rsidP="009F3034">
      <w:pPr>
        <w:pStyle w:val="FootnoteText"/>
        <w:jc w:val="left"/>
        <w:rPr>
          <w:szCs w:val="18"/>
          <w:lang w:val="lt-LT"/>
        </w:rPr>
      </w:pPr>
      <w:r w:rsidRPr="009F3034">
        <w:rPr>
          <w:rStyle w:val="FootnoteReference"/>
          <w:szCs w:val="18"/>
        </w:rPr>
        <w:footnoteRef/>
      </w:r>
      <w:r w:rsidRPr="009F3034">
        <w:rPr>
          <w:szCs w:val="18"/>
          <w:lang w:val="lt-LT"/>
        </w:rPr>
        <w:t xml:space="preserve"> Article </w:t>
      </w:r>
      <w:r w:rsidRPr="009F3034">
        <w:rPr>
          <w:color w:val="000000"/>
          <w:szCs w:val="18"/>
          <w:lang w:val="lt-LT" w:eastAsia="lt-LT"/>
        </w:rPr>
        <w:t>71.3.5 TRP Rules.</w:t>
      </w:r>
    </w:p>
  </w:footnote>
  <w:footnote w:id="69">
    <w:p w14:paraId="4FA292AD" w14:textId="77777777" w:rsidR="009F3034" w:rsidRPr="009F3034" w:rsidRDefault="009F3034" w:rsidP="009F3034">
      <w:pPr>
        <w:pStyle w:val="FootnoteText"/>
        <w:jc w:val="left"/>
        <w:rPr>
          <w:szCs w:val="18"/>
          <w:lang w:val="lt-LT"/>
        </w:rPr>
      </w:pPr>
      <w:r w:rsidRPr="009F3034">
        <w:rPr>
          <w:rStyle w:val="FootnoteReference"/>
          <w:szCs w:val="18"/>
        </w:rPr>
        <w:footnoteRef/>
      </w:r>
      <w:r w:rsidRPr="009F3034">
        <w:rPr>
          <w:szCs w:val="18"/>
          <w:lang w:val="lt-LT"/>
        </w:rPr>
        <w:t xml:space="preserve"> Article </w:t>
      </w:r>
      <w:r w:rsidRPr="009F3034">
        <w:rPr>
          <w:color w:val="000000"/>
          <w:szCs w:val="18"/>
          <w:lang w:val="lt-LT" w:eastAsia="lt-LT"/>
        </w:rPr>
        <w:t>71.3.6 TRP Rules.</w:t>
      </w:r>
    </w:p>
  </w:footnote>
  <w:footnote w:id="70">
    <w:p w14:paraId="2AE1C633" w14:textId="77777777" w:rsidR="009F3034" w:rsidRPr="009F3034" w:rsidRDefault="009F3034" w:rsidP="009F3034">
      <w:pPr>
        <w:pStyle w:val="FootnoteText"/>
        <w:jc w:val="left"/>
        <w:rPr>
          <w:szCs w:val="18"/>
          <w:lang w:val="lt-LT"/>
        </w:rPr>
      </w:pPr>
      <w:r w:rsidRPr="009F3034">
        <w:rPr>
          <w:rStyle w:val="FootnoteReference"/>
          <w:szCs w:val="18"/>
        </w:rPr>
        <w:footnoteRef/>
      </w:r>
      <w:r w:rsidRPr="009F3034">
        <w:rPr>
          <w:szCs w:val="18"/>
          <w:lang w:val="lt-LT"/>
        </w:rPr>
        <w:t xml:space="preserve"> Article </w:t>
      </w:r>
      <w:r w:rsidRPr="009F3034">
        <w:rPr>
          <w:color w:val="000000"/>
          <w:szCs w:val="18"/>
          <w:lang w:val="lt-LT" w:eastAsia="lt-LT"/>
        </w:rPr>
        <w:t>71.3.7 TRP Rules.</w:t>
      </w:r>
    </w:p>
  </w:footnote>
  <w:footnote w:id="71">
    <w:p w14:paraId="327D53B7" w14:textId="77777777" w:rsidR="009F3034" w:rsidRPr="009F3034" w:rsidRDefault="009F3034" w:rsidP="009F3034">
      <w:pPr>
        <w:pStyle w:val="FootnoteText"/>
        <w:jc w:val="left"/>
        <w:rPr>
          <w:szCs w:val="18"/>
          <w:lang w:val="lt-LT"/>
        </w:rPr>
      </w:pPr>
      <w:r w:rsidRPr="009F3034">
        <w:rPr>
          <w:rStyle w:val="FootnoteReference"/>
          <w:szCs w:val="18"/>
        </w:rPr>
        <w:footnoteRef/>
      </w:r>
      <w:r w:rsidRPr="009F3034">
        <w:rPr>
          <w:szCs w:val="18"/>
          <w:lang w:val="lt-LT"/>
        </w:rPr>
        <w:t xml:space="preserve"> Article </w:t>
      </w:r>
      <w:r w:rsidRPr="009F3034">
        <w:rPr>
          <w:color w:val="000000"/>
          <w:szCs w:val="18"/>
          <w:lang w:val="lt-LT" w:eastAsia="lt-LT"/>
        </w:rPr>
        <w:t>71.3.8 TRP Rules.</w:t>
      </w:r>
    </w:p>
  </w:footnote>
  <w:footnote w:id="72">
    <w:p w14:paraId="0D016E5F" w14:textId="77777777" w:rsidR="009F3034" w:rsidRPr="009F3034" w:rsidRDefault="009F3034" w:rsidP="009F3034">
      <w:pPr>
        <w:pStyle w:val="FootnoteText"/>
        <w:jc w:val="left"/>
        <w:rPr>
          <w:szCs w:val="18"/>
          <w:lang w:val="lt-LT"/>
        </w:rPr>
      </w:pPr>
      <w:r w:rsidRPr="009F3034">
        <w:rPr>
          <w:rStyle w:val="FootnoteReference"/>
          <w:szCs w:val="18"/>
        </w:rPr>
        <w:footnoteRef/>
      </w:r>
      <w:r w:rsidRPr="009F3034">
        <w:rPr>
          <w:szCs w:val="18"/>
          <w:lang w:val="lt-LT"/>
        </w:rPr>
        <w:t xml:space="preserve"> Article </w:t>
      </w:r>
      <w:r w:rsidRPr="009F3034">
        <w:rPr>
          <w:color w:val="000000"/>
          <w:szCs w:val="18"/>
          <w:lang w:val="lt-LT" w:eastAsia="lt-LT"/>
        </w:rPr>
        <w:t>71.4 TRP Rules.</w:t>
      </w:r>
    </w:p>
  </w:footnote>
  <w:footnote w:id="73">
    <w:p w14:paraId="0AF3F2A7" w14:textId="77777777" w:rsidR="009F3034" w:rsidRPr="009F3034" w:rsidRDefault="009F3034" w:rsidP="009F3034">
      <w:pPr>
        <w:pStyle w:val="FootnoteText"/>
        <w:jc w:val="left"/>
        <w:rPr>
          <w:szCs w:val="18"/>
          <w:lang w:val="lt-LT"/>
        </w:rPr>
      </w:pPr>
      <w:r w:rsidRPr="009F3034">
        <w:rPr>
          <w:rStyle w:val="FootnoteReference"/>
          <w:szCs w:val="18"/>
        </w:rPr>
        <w:footnoteRef/>
      </w:r>
      <w:r w:rsidRPr="009F3034">
        <w:rPr>
          <w:szCs w:val="18"/>
          <w:lang w:val="lt-LT"/>
        </w:rPr>
        <w:t xml:space="preserve"> Article </w:t>
      </w:r>
      <w:r w:rsidRPr="009F3034">
        <w:rPr>
          <w:color w:val="000000"/>
          <w:szCs w:val="18"/>
          <w:lang w:val="lt-LT" w:eastAsia="lt-LT"/>
        </w:rPr>
        <w:t>71.5 TRP Rules.</w:t>
      </w:r>
    </w:p>
  </w:footnote>
  <w:footnote w:id="74">
    <w:p w14:paraId="4BB0B6BA" w14:textId="77777777" w:rsidR="009F3034" w:rsidRPr="009F3034" w:rsidRDefault="009F3034" w:rsidP="009F3034">
      <w:pPr>
        <w:pStyle w:val="FootnoteText"/>
        <w:jc w:val="left"/>
        <w:rPr>
          <w:szCs w:val="18"/>
          <w:lang w:val="lt-LT"/>
        </w:rPr>
      </w:pPr>
      <w:r w:rsidRPr="009F3034">
        <w:rPr>
          <w:rStyle w:val="FootnoteReference"/>
          <w:szCs w:val="18"/>
        </w:rPr>
        <w:footnoteRef/>
      </w:r>
      <w:r w:rsidRPr="009F3034">
        <w:rPr>
          <w:szCs w:val="18"/>
          <w:lang w:val="lt-LT"/>
        </w:rPr>
        <w:t xml:space="preserve"> Article </w:t>
      </w:r>
      <w:r w:rsidRPr="009F3034">
        <w:rPr>
          <w:color w:val="000000"/>
          <w:szCs w:val="18"/>
          <w:lang w:val="lt-LT" w:eastAsia="lt-LT"/>
        </w:rPr>
        <w:t>71.6 TRP Rules.</w:t>
      </w:r>
    </w:p>
  </w:footnote>
  <w:footnote w:id="75">
    <w:p w14:paraId="555ED10A" w14:textId="77777777" w:rsidR="009F3034" w:rsidRPr="009F3034" w:rsidRDefault="009F3034" w:rsidP="009F3034">
      <w:pPr>
        <w:pStyle w:val="FootnoteText"/>
        <w:jc w:val="left"/>
        <w:rPr>
          <w:szCs w:val="18"/>
          <w:lang w:val="lt-LT"/>
        </w:rPr>
      </w:pPr>
      <w:r w:rsidRPr="009F3034">
        <w:rPr>
          <w:rStyle w:val="FootnoteReference"/>
          <w:szCs w:val="18"/>
        </w:rPr>
        <w:footnoteRef/>
      </w:r>
      <w:r w:rsidRPr="009F3034">
        <w:rPr>
          <w:szCs w:val="18"/>
          <w:lang w:val="lt-LT"/>
        </w:rPr>
        <w:t xml:space="preserve"> Articles </w:t>
      </w:r>
      <w:r w:rsidRPr="009F3034">
        <w:rPr>
          <w:color w:val="000000"/>
          <w:szCs w:val="18"/>
          <w:lang w:val="lt-LT" w:eastAsia="lt-LT"/>
        </w:rPr>
        <w:t xml:space="preserve">77, </w:t>
      </w:r>
      <w:r w:rsidRPr="009F3034">
        <w:rPr>
          <w:rFonts w:eastAsia="Calibri"/>
          <w:color w:val="000000"/>
          <w:szCs w:val="18"/>
          <w:lang w:val="lt-LT"/>
        </w:rPr>
        <w:t>82</w:t>
      </w:r>
      <w:r w:rsidRPr="009F3034">
        <w:rPr>
          <w:rFonts w:eastAsia="Calibri"/>
          <w:color w:val="000000"/>
          <w:szCs w:val="18"/>
          <w:vertAlign w:val="superscript"/>
          <w:lang w:val="lt-LT"/>
        </w:rPr>
        <w:t>2</w:t>
      </w:r>
      <w:r w:rsidRPr="009F3034">
        <w:rPr>
          <w:color w:val="000000"/>
          <w:szCs w:val="18"/>
          <w:lang w:val="lt-LT" w:eastAsia="lt-LT"/>
        </w:rPr>
        <w:t xml:space="preserve"> TRP Rules.</w:t>
      </w:r>
    </w:p>
  </w:footnote>
  <w:footnote w:id="76">
    <w:p w14:paraId="318653CF" w14:textId="77777777" w:rsidR="009F3034" w:rsidRPr="009F3034" w:rsidRDefault="009F3034" w:rsidP="009F3034">
      <w:pPr>
        <w:pStyle w:val="FootnoteText"/>
        <w:jc w:val="left"/>
        <w:rPr>
          <w:szCs w:val="18"/>
          <w:lang w:val="lt-LT"/>
        </w:rPr>
      </w:pPr>
      <w:r w:rsidRPr="009F3034">
        <w:rPr>
          <w:rStyle w:val="FootnoteReference"/>
          <w:szCs w:val="18"/>
        </w:rPr>
        <w:footnoteRef/>
      </w:r>
      <w:r w:rsidRPr="009F3034">
        <w:rPr>
          <w:szCs w:val="18"/>
          <w:lang w:val="lt-LT"/>
        </w:rPr>
        <w:t xml:space="preserve"> </w:t>
      </w:r>
      <w:r w:rsidRPr="009F3034">
        <w:rPr>
          <w:szCs w:val="18"/>
        </w:rPr>
        <w:fldChar w:fldCharType="begin"/>
      </w:r>
      <w:r w:rsidRPr="009F3034">
        <w:rPr>
          <w:szCs w:val="18"/>
          <w:lang w:val="lt-LT"/>
        </w:rPr>
        <w:instrText xml:space="preserve"> ADDIN ZOTERO_ITEM CSL_CITATION {"citationID":"PBjrCNBy","properties":{"formattedCitation":"Sipavi\\uc0\\u269{}ien\\uc0\\u279{}, Jer\\uc0\\u353{}ovas, and Stankevi\\uc0\\u269{}i\\uc0\\u363{}t\\uc0\\u279{}, \\uc0\\u8220{}Verslo Ir Investicij\\uc0\\u371{} Pritraukimas \\uc0\\u303{} Lietuv\\uc0\\u261{}: Migracijos Ir Migracijos Politikos Vaidmuo [Attracting Business and Investment into Lithuania: The Role of Migration and Migration Politics],\\uc0\\u8221{} 28.","plainCitation":"Sipavičienė, Jeršovas, and Stankevičiūtė, “Verslo Ir Investicijų Pritraukimas į Lietuvą: Migracijos Ir Migracijos Politikos Vaidmuo [Attracting Business and Investment into Lithuania: The Role of Migration and Migration Politics],” 28.","noteIndex":74},"citationItems":[{"id":1315,"uris":["http://zotero.org/users/1614103/items/Z7ASCALD"],"uri":["http://zotero.org/users/1614103/items/Z7ASCALD"],"itemData":{"id":1315,"type":"report","title":"Verslo ir investicijų pritraukimas į Lietuvą: migracijos ir migracijos politikos vaidmuo [Attracting business and investment into Lithuania: the role of migration and migration politics]","publisher":"European Migration Network, IOM Vilnius Office","URL":"http://emn.lt/wp-content/uploads/2015/10/Verslo-ir-investicij%C5%B3-pritraukimas-%C4%AF-Lietuv%C4%85.pdf","author":[{"family":"Sipavičienė","given":"Audra"},{"family":"Jeršovas","given":"Mantas"},{"family":"Stankevičiūtė","given":"Agnė"}],"issued":{"date-parts":[["2015"]]},"accessed":{"date-parts":[["2018",2,27]]}},"locator":"28"}],"schema":"https://github.com/citation-style-language/schema/raw/master/csl-citation.json"} </w:instrText>
      </w:r>
      <w:r w:rsidRPr="009F3034">
        <w:rPr>
          <w:szCs w:val="18"/>
        </w:rPr>
        <w:fldChar w:fldCharType="separate"/>
      </w:r>
      <w:r w:rsidRPr="009F3034">
        <w:rPr>
          <w:szCs w:val="18"/>
          <w:lang w:val="lt-LT"/>
        </w:rPr>
        <w:t>Sipavičienė, Jeršovas, and Stankevičiūtė, “Verslo Ir Investicijų Pritraukimas į Lietuvą: Migracijos Ir Migracijos Politikos Vaidmuo [Attracting Business and Investment into Lithuania: The Role of Migration and Migration Politics],” 28.</w:t>
      </w:r>
      <w:r w:rsidRPr="009F3034">
        <w:rPr>
          <w:szCs w:val="18"/>
        </w:rPr>
        <w:fldChar w:fldCharType="end"/>
      </w:r>
    </w:p>
  </w:footnote>
  <w:footnote w:id="77">
    <w:p w14:paraId="094A0A9D" w14:textId="77777777" w:rsidR="009F3034" w:rsidRPr="009F3034" w:rsidRDefault="009F3034" w:rsidP="009F3034">
      <w:pPr>
        <w:pStyle w:val="FootnoteText"/>
        <w:jc w:val="left"/>
        <w:rPr>
          <w:szCs w:val="18"/>
          <w:lang w:val="lt-LT"/>
        </w:rPr>
      </w:pPr>
      <w:r w:rsidRPr="009F3034">
        <w:rPr>
          <w:rStyle w:val="FootnoteReference"/>
          <w:szCs w:val="18"/>
        </w:rPr>
        <w:footnoteRef/>
      </w:r>
      <w:r w:rsidRPr="009F3034">
        <w:rPr>
          <w:szCs w:val="18"/>
          <w:lang w:val="lt-LT"/>
        </w:rPr>
        <w:t xml:space="preserve"> Articles 101.1-104 TRP Rules.</w:t>
      </w:r>
    </w:p>
  </w:footnote>
  <w:footnote w:id="78">
    <w:p w14:paraId="545EF429" w14:textId="50A7F0F0"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w:t>
      </w:r>
      <w:r w:rsidRPr="009F3034">
        <w:rPr>
          <w:rFonts w:eastAsia="Calibri"/>
          <w:color w:val="000000"/>
          <w:szCs w:val="18"/>
        </w:rPr>
        <w:t>Article 101.1 TRP Rules.</w:t>
      </w:r>
    </w:p>
  </w:footnote>
  <w:footnote w:id="79">
    <w:p w14:paraId="16FAF1D6" w14:textId="191D4515"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w:t>
      </w:r>
      <w:r w:rsidRPr="009F3034">
        <w:rPr>
          <w:rFonts w:eastAsia="Calibri"/>
          <w:color w:val="000000"/>
          <w:szCs w:val="18"/>
        </w:rPr>
        <w:t>Articles 102 TRP Rules.</w:t>
      </w:r>
    </w:p>
  </w:footnote>
  <w:footnote w:id="80">
    <w:p w14:paraId="7885D76A" w14:textId="77777777" w:rsidR="009F3034" w:rsidRPr="009F3034" w:rsidRDefault="009F3034" w:rsidP="009F3034">
      <w:pPr>
        <w:pStyle w:val="FootnoteText"/>
        <w:jc w:val="left"/>
        <w:rPr>
          <w:szCs w:val="18"/>
          <w:lang w:val="lt-LT"/>
        </w:rPr>
      </w:pPr>
      <w:r w:rsidRPr="009F3034">
        <w:rPr>
          <w:rStyle w:val="FootnoteReference"/>
          <w:szCs w:val="18"/>
        </w:rPr>
        <w:footnoteRef/>
      </w:r>
      <w:r w:rsidRPr="009F3034">
        <w:rPr>
          <w:szCs w:val="18"/>
          <w:lang w:val="lt-LT"/>
        </w:rPr>
        <w:t xml:space="preserve"> Article 33.1(2)(d) LLSA.</w:t>
      </w:r>
    </w:p>
  </w:footnote>
  <w:footnote w:id="81">
    <w:p w14:paraId="55861E82" w14:textId="0197C5F8"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The urgent procedure application fee for the consideration of the application for issuing/replacing the TRP is currently EUR 172; see below and Articles 2.6-2.7.2 of the Government Resolution ‘On State Fees, their Collection and Return’ (Lietuvos Respublikos Vyriausybės nutarimas “Dėl valstybės rinkliavos objektų sąrašo, šios rinkliavos dydžių ir mokėjimo ir grąžinimo taisyklių patvirtinimo”), Valstybės žinios No. 108-3463, 1001100NUTA00001458, available at </w:t>
      </w:r>
      <w:hyperlink r:id="rId8" w:history="1">
        <w:r w:rsidRPr="009F3034">
          <w:rPr>
            <w:rStyle w:val="Hyperlink"/>
            <w:szCs w:val="18"/>
          </w:rPr>
          <w:t>https://www.e-tar.lt/portal/en/legalAct/TAR.E3A145C8DD49/eJlUgjbMYg</w:t>
        </w:r>
      </w:hyperlink>
      <w:r w:rsidRPr="009F3034">
        <w:rPr>
          <w:szCs w:val="18"/>
        </w:rPr>
        <w:t xml:space="preserve">. </w:t>
      </w:r>
    </w:p>
  </w:footnote>
  <w:footnote w:id="82">
    <w:p w14:paraId="41A5E80E" w14:textId="77777777" w:rsidR="009F3034" w:rsidRPr="009F3034" w:rsidRDefault="009F3034" w:rsidP="009F3034">
      <w:pPr>
        <w:pStyle w:val="FootnoteText"/>
        <w:jc w:val="left"/>
        <w:rPr>
          <w:szCs w:val="18"/>
          <w:lang w:val="lt-LT"/>
        </w:rPr>
      </w:pPr>
      <w:r w:rsidRPr="009F3034">
        <w:rPr>
          <w:rStyle w:val="FootnoteReference"/>
          <w:szCs w:val="18"/>
        </w:rPr>
        <w:footnoteRef/>
      </w:r>
      <w:r w:rsidRPr="009F3034">
        <w:rPr>
          <w:szCs w:val="18"/>
          <w:lang w:val="lt-LT"/>
        </w:rPr>
        <w:t xml:space="preserve"> Articles 4.3, 55, 62 TRP Rules.</w:t>
      </w:r>
    </w:p>
  </w:footnote>
  <w:footnote w:id="83">
    <w:p w14:paraId="14C44651" w14:textId="77777777" w:rsidR="009F3034" w:rsidRPr="009F3034" w:rsidRDefault="009F3034" w:rsidP="009F3034">
      <w:pPr>
        <w:pStyle w:val="FootnoteText"/>
        <w:jc w:val="left"/>
        <w:rPr>
          <w:szCs w:val="18"/>
          <w:lang w:val="lt-LT"/>
        </w:rPr>
      </w:pPr>
      <w:r w:rsidRPr="009F3034">
        <w:rPr>
          <w:rStyle w:val="FootnoteReference"/>
          <w:szCs w:val="18"/>
        </w:rPr>
        <w:footnoteRef/>
      </w:r>
      <w:r w:rsidRPr="009F3034">
        <w:rPr>
          <w:szCs w:val="18"/>
          <w:lang w:val="lt-LT"/>
        </w:rPr>
        <w:t xml:space="preserve"> Articles </w:t>
      </w:r>
      <w:r w:rsidRPr="009F3034">
        <w:rPr>
          <w:color w:val="000000"/>
          <w:szCs w:val="18"/>
          <w:lang w:val="lt-LT"/>
        </w:rPr>
        <w:t xml:space="preserve">106.1-106.2 </w:t>
      </w:r>
      <w:r w:rsidRPr="009F3034">
        <w:rPr>
          <w:szCs w:val="18"/>
          <w:lang w:val="lt-LT"/>
        </w:rPr>
        <w:t>TRP Rules.</w:t>
      </w:r>
    </w:p>
  </w:footnote>
  <w:footnote w:id="84">
    <w:p w14:paraId="2EB2290D" w14:textId="77777777" w:rsidR="009F3034" w:rsidRPr="009F3034" w:rsidRDefault="009F3034" w:rsidP="009F3034">
      <w:pPr>
        <w:pStyle w:val="FootnoteText"/>
        <w:jc w:val="left"/>
        <w:rPr>
          <w:szCs w:val="18"/>
          <w:lang w:val="lt-LT"/>
        </w:rPr>
      </w:pPr>
      <w:r w:rsidRPr="009F3034">
        <w:rPr>
          <w:rStyle w:val="FootnoteReference"/>
          <w:szCs w:val="18"/>
        </w:rPr>
        <w:footnoteRef/>
      </w:r>
      <w:r w:rsidRPr="009F3034">
        <w:rPr>
          <w:szCs w:val="18"/>
          <w:lang w:val="lt-LT"/>
        </w:rPr>
        <w:t xml:space="preserve"> Articles </w:t>
      </w:r>
      <w:r w:rsidRPr="009F3034">
        <w:rPr>
          <w:color w:val="000000"/>
          <w:szCs w:val="18"/>
          <w:lang w:val="lt-LT"/>
        </w:rPr>
        <w:t xml:space="preserve">108.1-108.2 </w:t>
      </w:r>
      <w:r w:rsidRPr="009F3034">
        <w:rPr>
          <w:szCs w:val="18"/>
          <w:lang w:val="lt-LT"/>
        </w:rPr>
        <w:t>TRP Rules.</w:t>
      </w:r>
    </w:p>
  </w:footnote>
  <w:footnote w:id="85">
    <w:p w14:paraId="03DDA547" w14:textId="77777777" w:rsidR="009F3034" w:rsidRPr="009F3034" w:rsidRDefault="009F3034" w:rsidP="009F3034">
      <w:pPr>
        <w:pStyle w:val="FootnoteText"/>
        <w:jc w:val="left"/>
        <w:rPr>
          <w:szCs w:val="18"/>
          <w:lang w:val="lt-LT"/>
        </w:rPr>
      </w:pPr>
      <w:r w:rsidRPr="009F3034">
        <w:rPr>
          <w:rStyle w:val="FootnoteReference"/>
          <w:szCs w:val="18"/>
        </w:rPr>
        <w:footnoteRef/>
      </w:r>
      <w:r w:rsidRPr="009F3034">
        <w:rPr>
          <w:szCs w:val="18"/>
          <w:lang w:val="lt-LT"/>
        </w:rPr>
        <w:t xml:space="preserve"> Article 131 TRP Rules.</w:t>
      </w:r>
    </w:p>
  </w:footnote>
  <w:footnote w:id="86">
    <w:p w14:paraId="691A4831" w14:textId="77777777" w:rsidR="009F3034" w:rsidRPr="009F3034" w:rsidRDefault="009F3034" w:rsidP="009F3034">
      <w:pPr>
        <w:pStyle w:val="FootnoteText"/>
        <w:jc w:val="left"/>
        <w:rPr>
          <w:szCs w:val="18"/>
          <w:lang w:val="lt-LT"/>
        </w:rPr>
      </w:pPr>
      <w:r w:rsidRPr="009F3034">
        <w:rPr>
          <w:rStyle w:val="FootnoteReference"/>
          <w:szCs w:val="18"/>
        </w:rPr>
        <w:footnoteRef/>
      </w:r>
      <w:r w:rsidRPr="009F3034">
        <w:rPr>
          <w:szCs w:val="18"/>
          <w:lang w:val="lt-LT"/>
        </w:rPr>
        <w:t xml:space="preserve"> Articles 111, 114, 117 TRP Rules.</w:t>
      </w:r>
    </w:p>
  </w:footnote>
  <w:footnote w:id="87">
    <w:p w14:paraId="305070DE"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114 TRP Rules.</w:t>
      </w:r>
    </w:p>
  </w:footnote>
  <w:footnote w:id="88">
    <w:p w14:paraId="1906D229"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111 TRP Rules.</w:t>
      </w:r>
    </w:p>
  </w:footnote>
  <w:footnote w:id="89">
    <w:p w14:paraId="35B93CBF" w14:textId="77777777" w:rsidR="009F3034" w:rsidRPr="00E178B3" w:rsidRDefault="009F3034" w:rsidP="009F3034">
      <w:pPr>
        <w:pStyle w:val="FootnoteText"/>
        <w:jc w:val="left"/>
        <w:rPr>
          <w:szCs w:val="18"/>
          <w:lang w:val="fr-FR"/>
        </w:rPr>
      </w:pPr>
      <w:r w:rsidRPr="009F3034">
        <w:rPr>
          <w:rStyle w:val="FootnoteReference"/>
          <w:szCs w:val="18"/>
        </w:rPr>
        <w:footnoteRef/>
      </w:r>
      <w:r w:rsidRPr="00E178B3">
        <w:rPr>
          <w:szCs w:val="18"/>
          <w:lang w:val="fr-FR"/>
        </w:rPr>
        <w:t xml:space="preserve"> Article 45.2 LLSA.</w:t>
      </w:r>
    </w:p>
  </w:footnote>
  <w:footnote w:id="90">
    <w:p w14:paraId="1E5C3AAA" w14:textId="77777777" w:rsidR="009F3034" w:rsidRPr="00E178B3" w:rsidRDefault="009F3034" w:rsidP="009F3034">
      <w:pPr>
        <w:pStyle w:val="FootnoteText"/>
        <w:jc w:val="left"/>
        <w:rPr>
          <w:szCs w:val="18"/>
          <w:lang w:val="fr-FR"/>
        </w:rPr>
      </w:pPr>
      <w:r w:rsidRPr="009F3034">
        <w:rPr>
          <w:rStyle w:val="FootnoteReference"/>
          <w:szCs w:val="18"/>
        </w:rPr>
        <w:footnoteRef/>
      </w:r>
      <w:r w:rsidRPr="00E178B3">
        <w:rPr>
          <w:szCs w:val="18"/>
          <w:lang w:val="fr-FR"/>
        </w:rPr>
        <w:t xml:space="preserve"> Article 45.3 LLSA.</w:t>
      </w:r>
    </w:p>
  </w:footnote>
  <w:footnote w:id="91">
    <w:p w14:paraId="56E066D4" w14:textId="77777777" w:rsidR="009F3034" w:rsidRPr="00E178B3" w:rsidRDefault="009F3034" w:rsidP="009F3034">
      <w:pPr>
        <w:pStyle w:val="FootnoteText"/>
        <w:jc w:val="left"/>
        <w:rPr>
          <w:szCs w:val="18"/>
          <w:lang w:val="fr-FR"/>
        </w:rPr>
      </w:pPr>
      <w:r w:rsidRPr="009F3034">
        <w:rPr>
          <w:rStyle w:val="FootnoteReference"/>
          <w:szCs w:val="18"/>
        </w:rPr>
        <w:footnoteRef/>
      </w:r>
      <w:r w:rsidRPr="00E178B3">
        <w:rPr>
          <w:szCs w:val="18"/>
          <w:lang w:val="fr-FR"/>
        </w:rPr>
        <w:t xml:space="preserve"> Article 34.1 LLSA.</w:t>
      </w:r>
    </w:p>
  </w:footnote>
  <w:footnote w:id="92">
    <w:p w14:paraId="79D5B924"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34.2 LLSA.</w:t>
      </w:r>
    </w:p>
  </w:footnote>
  <w:footnote w:id="93">
    <w:p w14:paraId="172C8A06"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136 TRP Rules.</w:t>
      </w:r>
    </w:p>
  </w:footnote>
  <w:footnote w:id="94">
    <w:p w14:paraId="22B7CA0B" w14:textId="57E38778"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As listed in Articles 138.1-138.9 TRP Regulations: an application to process a TRP; a valid travel document; a document evidencing the right to reside in Lithuania (where the visa-free legal regime does not apply); a valid TRP; documents confirming person’s civil status (e.g. marriage certificate), where such data does not match or is absent from the records in the Register of Aliens and/or the Population Register; receipt for the state fee for processing the TRP application; documents evidencing the place of residence in Lithuania and a suitable health insurance (if such documents had not been supplied at the application stage).</w:t>
      </w:r>
    </w:p>
  </w:footnote>
  <w:footnote w:id="95">
    <w:p w14:paraId="7FCED4DE"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Articles </w:t>
      </w:r>
      <w:r w:rsidRPr="009F3034">
        <w:rPr>
          <w:color w:val="000000"/>
          <w:szCs w:val="18"/>
          <w:lang w:eastAsia="lt-LT"/>
        </w:rPr>
        <w:t xml:space="preserve">158.4.7-158.4.11 </w:t>
      </w:r>
      <w:r w:rsidRPr="009F3034">
        <w:rPr>
          <w:szCs w:val="18"/>
        </w:rPr>
        <w:t>TRP Rules.</w:t>
      </w:r>
    </w:p>
  </w:footnote>
  <w:footnote w:id="96">
    <w:p w14:paraId="3CC956CA" w14:textId="4CE733DD"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w:t>
      </w:r>
      <w:r w:rsidRPr="009F3034">
        <w:rPr>
          <w:szCs w:val="18"/>
        </w:rPr>
        <w:fldChar w:fldCharType="begin"/>
      </w:r>
      <w:r w:rsidRPr="009F3034">
        <w:rPr>
          <w:szCs w:val="18"/>
        </w:rPr>
        <w:instrText xml:space="preserve"> ADDIN ZOTERO_ITEM CSL_CITATION {"citationID":"VleVDQlh","properties":{"formattedCitation":"Identity Documents Personalisation Centre, \\uc0\\u8220{}Residence Permit from 2012,\\uc0\\u8221{} accessed March 12, 2018, http://adic.lrv.lt/en/identity-documents/residence-permit-document/residence-permit-from-2012.","plainCitation":"Identity Documents Personalisation Centre, “Residence Permit from 2012,” accessed March 12, 2018, http://adic.lrv.lt/en/identity-documents/residence-permit-document/residence-permit-from-2012.","noteIndex":99},"citationItems":[{"id":1347,"uris":["http://zotero.org/users/1614103/items/9WRYQTJ3"],"uri":["http://zotero.org/users/1614103/items/9WRYQTJ3"],"itemData":{"id":1347,"type":"webpage","title":"Residence Permit from 2012","abstract":"RESIDENCE PERMIT FROM 2012\n\nTemporary residence permit in the Republic of Lithuania\n\nTemporary residence permit in the Republic of Lithuania means a document granting an alien the right for...","URL":"http://adic.lrv.lt/en/identity-documents/residence-permit-document/residence-permit-from-2012","language":"lt","author":[{"family":"Identity Documents Personalisation Centre","given":""}],"accessed":{"date-parts":[["2018",3,12]]}}}],"schema":"https://github.com/citation-style-language/schema/raw/master/csl-citation.json"} </w:instrText>
      </w:r>
      <w:r w:rsidRPr="009F3034">
        <w:rPr>
          <w:szCs w:val="18"/>
        </w:rPr>
        <w:fldChar w:fldCharType="separate"/>
      </w:r>
      <w:r w:rsidRPr="009F3034">
        <w:rPr>
          <w:szCs w:val="18"/>
        </w:rPr>
        <w:t>Identity Documents Personalisation Centre, “Residence Permit from 2012,” accessed March 12, 2018, http://adic.lrv.lt/en/identity-documents/residence-permit-document/residence-permit-from-2012.</w:t>
      </w:r>
      <w:r w:rsidRPr="009F3034">
        <w:rPr>
          <w:szCs w:val="18"/>
        </w:rPr>
        <w:fldChar w:fldCharType="end"/>
      </w:r>
    </w:p>
  </w:footnote>
  <w:footnote w:id="97">
    <w:p w14:paraId="13134CE4"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Articles 34.2 and 34</w:t>
      </w:r>
      <w:r w:rsidRPr="009F3034">
        <w:rPr>
          <w:szCs w:val="18"/>
          <w:vertAlign w:val="superscript"/>
        </w:rPr>
        <w:t>1</w:t>
      </w:r>
      <w:r w:rsidRPr="009F3034">
        <w:rPr>
          <w:szCs w:val="18"/>
        </w:rPr>
        <w:t xml:space="preserve"> LLSA; Article 137 TRP Rules.</w:t>
      </w:r>
    </w:p>
  </w:footnote>
  <w:footnote w:id="98">
    <w:p w14:paraId="66798192"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161 TRP Rules.</w:t>
      </w:r>
    </w:p>
  </w:footnote>
  <w:footnote w:id="99">
    <w:p w14:paraId="5E6CA776"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168 TRP Rules.</w:t>
      </w:r>
    </w:p>
  </w:footnote>
  <w:footnote w:id="100">
    <w:p w14:paraId="09614984"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169 TRP Rules.</w:t>
      </w:r>
    </w:p>
  </w:footnote>
  <w:footnote w:id="101">
    <w:p w14:paraId="744DF2CA" w14:textId="5FF00074"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Articles 122, 123 TRP Rules. For the list of the recent administrative court decisions on migration (in Lithuanian), please see </w:t>
      </w:r>
      <w:r w:rsidRPr="009F3034">
        <w:rPr>
          <w:szCs w:val="18"/>
        </w:rPr>
        <w:fldChar w:fldCharType="begin"/>
      </w:r>
      <w:r w:rsidRPr="009F3034">
        <w:rPr>
          <w:szCs w:val="18"/>
        </w:rPr>
        <w:instrText xml:space="preserve"> ADDIN ZOTERO_ITEM CSL_CITATION {"citationID":"y28hSnS9","properties":{"formattedCitation":"\\uc0\\u8220{}Migracijos Departamentas - Teismo Sprendimai,\\uc0\\u8221{} accessed March 23, 2018, http://www.migracija.lt/index.php?1776732896.","plainCitation":"“Migracijos Departamentas - Teismo Sprendimai,” accessed March 23, 2018, http://www.migracija.lt/index.php?1776732896.","noteIndex":104},"citationItems":[{"id":1375,"uris":["http://zotero.org/users/1614103/items/QGCBUBY5"],"uri":["http://zotero.org/users/1614103/items/QGCBUBY5"],"itemData":{"id":1375,"type":"webpage","title":"Migracijos departamentas - Teismo sprendimai","URL":"http://www.migracija.lt/index.php?1776732896","accessed":{"date-parts":[["2018",3,23]]}}}],"schema":"https://github.com/citation-style-language/schema/raw/master/csl-citation.json"} </w:instrText>
      </w:r>
      <w:r w:rsidRPr="009F3034">
        <w:rPr>
          <w:szCs w:val="18"/>
        </w:rPr>
        <w:fldChar w:fldCharType="separate"/>
      </w:r>
      <w:r w:rsidRPr="009F3034">
        <w:rPr>
          <w:szCs w:val="18"/>
        </w:rPr>
        <w:t>“Migracijos Departamentas - Teismo Sprendimai,” accessed March 23, 2018, http://www.migracija.lt/index.php?1776732896.</w:t>
      </w:r>
      <w:r w:rsidRPr="009F3034">
        <w:rPr>
          <w:szCs w:val="18"/>
        </w:rPr>
        <w:fldChar w:fldCharType="end"/>
      </w:r>
      <w:r w:rsidRPr="009F3034">
        <w:rPr>
          <w:szCs w:val="18"/>
        </w:rPr>
        <w:t xml:space="preserve"> </w:t>
      </w:r>
    </w:p>
  </w:footnote>
  <w:footnote w:id="102">
    <w:p w14:paraId="6D68252B"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Articles 126, 127 TRP Rules.</w:t>
      </w:r>
    </w:p>
  </w:footnote>
  <w:footnote w:id="103">
    <w:p w14:paraId="4F66D124" w14:textId="142A7A49"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Who received a TPR based on Articles 45.1(1), 45.1(2), 45.1(2</w:t>
      </w:r>
      <w:r w:rsidRPr="009F3034">
        <w:rPr>
          <w:szCs w:val="18"/>
          <w:vertAlign w:val="superscript"/>
        </w:rPr>
        <w:t>1</w:t>
      </w:r>
      <w:r w:rsidRPr="009F3034">
        <w:rPr>
          <w:szCs w:val="18"/>
        </w:rPr>
        <w:t>) LLSA.</w:t>
      </w:r>
    </w:p>
  </w:footnote>
  <w:footnote w:id="104">
    <w:p w14:paraId="367228EC"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Articles 33.1(4) and 36 LLSA, Article 222 TRP Rules.</w:t>
      </w:r>
    </w:p>
  </w:footnote>
  <w:footnote w:id="105">
    <w:p w14:paraId="5498AD37"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50.1(7) LLSA, Articles 188-</w:t>
      </w:r>
      <w:r w:rsidRPr="009F3034">
        <w:rPr>
          <w:color w:val="000000"/>
          <w:szCs w:val="18"/>
          <w:lang w:eastAsia="lt-LT"/>
        </w:rPr>
        <w:t>202</w:t>
      </w:r>
      <w:r w:rsidRPr="009F3034">
        <w:rPr>
          <w:szCs w:val="18"/>
        </w:rPr>
        <w:t xml:space="preserve"> TRP Rules.</w:t>
      </w:r>
    </w:p>
  </w:footnote>
  <w:footnote w:id="106">
    <w:p w14:paraId="0039FBC3"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52.1(3) and Articles 208-210 TRP Rules</w:t>
      </w:r>
    </w:p>
  </w:footnote>
  <w:footnote w:id="107">
    <w:p w14:paraId="4B7C2714"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210 TRP Rules.</w:t>
      </w:r>
    </w:p>
  </w:footnote>
  <w:footnote w:id="108">
    <w:p w14:paraId="74F40FCB" w14:textId="6BCF12D3"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w:t>
      </w:r>
      <w:r w:rsidRPr="009F3034">
        <w:rPr>
          <w:szCs w:val="18"/>
        </w:rPr>
        <w:fldChar w:fldCharType="begin"/>
      </w:r>
      <w:r w:rsidRPr="009F3034">
        <w:rPr>
          <w:szCs w:val="18"/>
        </w:rPr>
        <w:instrText xml:space="preserve"> ADDIN ZOTERO_ITEM CSL_CITATION {"citationID":"veVxVH76","properties":{"formattedCitation":"Migration Department, \\uc0\\u8220{}Migration Yearbook (Migracijos Metra\\uc0\\u353{}tis)\\uc0\\u8221{} (Vilnius, 2015), 62, http://www.migracija.lt/index.php?-1704151938.","plainCitation":"Migration Department, “Migration Yearbook (Migracijos Metraštis)” (Vilnius, 2015), 62, http://www.migracija.lt/index.php?-1704151938.","noteIndex":111},"citationItems":[{"id":1318,"uris":["http://zotero.org/users/1614103/items/RMLHEJZS"],"uri":["http://zotero.org/users/1614103/items/RMLHEJZS"],"itemData":{"id":1318,"type":"report","title":"Migration Yearbook (Migracijos metraštis)","publisher-place":"Vilnius","event-place":"Vilnius","URL":"http://www.migracija.lt/index.php?-1704151938","language":"EN","author":[{"family":"Migration Department","given":""}],"issued":{"date-parts":[["2015"]]},"accessed":{"date-parts":[["2018",3,5]]}},"locator":"62"}],"schema":"https://github.com/citation-style-language/schema/raw/master/csl-citation.json"} </w:instrText>
      </w:r>
      <w:r w:rsidRPr="009F3034">
        <w:rPr>
          <w:szCs w:val="18"/>
        </w:rPr>
        <w:fldChar w:fldCharType="separate"/>
      </w:r>
      <w:r w:rsidRPr="009F3034">
        <w:rPr>
          <w:szCs w:val="18"/>
        </w:rPr>
        <w:t>Migration Department, “Migration Yearbook (Migracijos Metraštis)” (Vilnius, 2015), 62, http://www.migracija.lt/index.php?-1704151938.</w:t>
      </w:r>
      <w:r w:rsidRPr="009F3034">
        <w:rPr>
          <w:szCs w:val="18"/>
        </w:rPr>
        <w:fldChar w:fldCharType="end"/>
      </w:r>
    </w:p>
  </w:footnote>
  <w:footnote w:id="109">
    <w:p w14:paraId="520ECBB1" w14:textId="2D8B7BC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The gross average monthly salary (BDU) for the third quarter of 2017 was 842.7 euro; see </w:t>
      </w:r>
      <w:r w:rsidRPr="009F3034">
        <w:rPr>
          <w:szCs w:val="18"/>
        </w:rPr>
        <w:fldChar w:fldCharType="begin"/>
      </w:r>
      <w:r w:rsidRPr="009F3034">
        <w:rPr>
          <w:szCs w:val="18"/>
        </w:rPr>
        <w:instrText xml:space="preserve"> ADDIN ZOTERO_ITEM CSL_CITATION {"citationID":"VNX2rfh0","properties":{"formattedCitation":"SoDra, \\uc0\\u8220{}Core Social Indicators (Pagrindiniai Socialiniai Rodikliai).\\uc0\\u8221{}","plainCitation":"SoDra, “Core Social Indicators (Pagrindiniai Socialiniai Rodikliai).”","noteIndex":112},"citationItems":[{"id":1323,"uris":["http://zotero.org/users/1614103/items/CLQ2XNFN"],"uri":["http://zotero.org/users/1614103/items/CLQ2XNFN"],"itemData":{"id":1323,"type":"webpage","title":"Core social indicators (Pagrindiniai socialiniai rodikliai)","URL":"http://www.sodra.lt/lt/situacijos/statistika/pagrindiniai-socialiniai-rodikliai","author":[{"family":"SoDra","given":""}],"accessed":{"date-parts":[["2018",3,6]]}}}],"schema":"https://github.com/citation-style-language/schema/raw/master/csl-citation.json"} </w:instrText>
      </w:r>
      <w:r w:rsidRPr="009F3034">
        <w:rPr>
          <w:szCs w:val="18"/>
        </w:rPr>
        <w:fldChar w:fldCharType="separate"/>
      </w:r>
      <w:r w:rsidRPr="009F3034">
        <w:rPr>
          <w:szCs w:val="18"/>
        </w:rPr>
        <w:t>SoDra, “Core Social Indicators (Pagrindiniai Socialiniai Rodikliai).”</w:t>
      </w:r>
      <w:r w:rsidRPr="009F3034">
        <w:rPr>
          <w:szCs w:val="18"/>
        </w:rPr>
        <w:fldChar w:fldCharType="end"/>
      </w:r>
    </w:p>
  </w:footnote>
  <w:footnote w:id="110">
    <w:p w14:paraId="4082E63C" w14:textId="6F62742E"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17.6 TRP Rules. This equals to 1 minimal monthly salary for one month; from 1 January 2018, this is EUR 400; see Government Resolution ‘On Minimal Pay (Lietuvos Respublikos Vyriausybės nutarimas “Dėl minimaliojo darbo užmokesčio</w:t>
      </w:r>
      <w:r w:rsidRPr="009F3034">
        <w:rPr>
          <w:szCs w:val="18"/>
          <w:lang w:val="lt-LT"/>
        </w:rPr>
        <w:t>“</w:t>
      </w:r>
      <w:r w:rsidRPr="009F3034">
        <w:rPr>
          <w:szCs w:val="18"/>
        </w:rPr>
        <w:t xml:space="preserve">), </w:t>
      </w:r>
      <w:r w:rsidRPr="009F3034">
        <w:rPr>
          <w:color w:val="333333"/>
          <w:szCs w:val="18"/>
          <w:shd w:val="clear" w:color="auto" w:fill="FFFFFF"/>
        </w:rPr>
        <w:t xml:space="preserve">TAR Nr. 16194, </w:t>
      </w:r>
      <w:r w:rsidRPr="009F3034">
        <w:rPr>
          <w:szCs w:val="18"/>
        </w:rPr>
        <w:t xml:space="preserve"> available at </w:t>
      </w:r>
      <w:hyperlink r:id="rId9" w:history="1">
        <w:r w:rsidRPr="009F3034">
          <w:rPr>
            <w:rStyle w:val="Hyperlink"/>
            <w:szCs w:val="18"/>
          </w:rPr>
          <w:t>https://www.e-tar.lt/portal/lt/legalAct/d6219e10af3e11e7afdadfc0e4460de4</w:t>
        </w:r>
      </w:hyperlink>
      <w:r w:rsidRPr="009F3034">
        <w:rPr>
          <w:szCs w:val="18"/>
        </w:rPr>
        <w:t>.</w:t>
      </w:r>
    </w:p>
  </w:footnote>
  <w:footnote w:id="111">
    <w:p w14:paraId="015CDE67" w14:textId="77777777" w:rsidR="009F3034" w:rsidRPr="009F3034" w:rsidRDefault="009F3034" w:rsidP="009F3034">
      <w:pPr>
        <w:rPr>
          <w:sz w:val="18"/>
          <w:szCs w:val="18"/>
        </w:rPr>
      </w:pPr>
      <w:r w:rsidRPr="009F3034">
        <w:rPr>
          <w:rStyle w:val="FootnoteReference"/>
          <w:sz w:val="18"/>
          <w:szCs w:val="18"/>
        </w:rPr>
        <w:footnoteRef/>
      </w:r>
      <w:r w:rsidRPr="009F3034">
        <w:rPr>
          <w:sz w:val="18"/>
          <w:szCs w:val="18"/>
        </w:rPr>
        <w:t xml:space="preserve"> Article 61 LLSA and Article 17.8 TRP Rules. Health insurance should be valid throughout the whole time of residence. This requirement was introduced with effect from January 2017: The Law Amending the Law on Law Amending the Law on the Legal Status of Aliens (Lietuvos Respublikos įstatymo „Dėl užsieniečių teisinės padėties“ Nr. IX-2206 pakeitimo įstatymas), TAR No. 23714, 2016-23714, available at https://www.e-tar.lt/portal/en/legalAct/b6327e007e7311e6b969d7ae07280e89. </w:t>
      </w:r>
    </w:p>
  </w:footnote>
  <w:footnote w:id="112">
    <w:p w14:paraId="478F2115" w14:textId="68FFE369"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17.10 TRP Rules. When applying for a TRP for the first time, such a list should cover 10 years preceding the application.</w:t>
      </w:r>
    </w:p>
  </w:footnote>
  <w:footnote w:id="113">
    <w:p w14:paraId="2E09DA4B" w14:textId="4F56CEDB"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17.2 TRP Rules,</w:t>
      </w:r>
    </w:p>
  </w:footnote>
  <w:footnote w:id="114">
    <w:p w14:paraId="526F1C13" w14:textId="6D490085"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17.4 TRP Rules.</w:t>
      </w:r>
    </w:p>
  </w:footnote>
  <w:footnote w:id="115">
    <w:p w14:paraId="355DF8C6" w14:textId="025D19F1"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17.1 TRP Rules.</w:t>
      </w:r>
    </w:p>
  </w:footnote>
  <w:footnote w:id="116">
    <w:p w14:paraId="401EC575" w14:textId="1F825295"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Articles 17.11 and 17.12 TRP Rules.</w:t>
      </w:r>
    </w:p>
  </w:footnote>
  <w:footnote w:id="117">
    <w:p w14:paraId="1FBD7283"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Articles 2.6-2.7.2 of the Government Resolution ‘On State Fees, their Collection and Return’ (Lietuvos Respublikos Vyriausybės nutarimas “Dėl valstybės rinkliavos objektų sąrašo, šios rinkliavos dydžių ir mokėjimo ir grąžinimo taisyklių patvirtinimo”),</w:t>
      </w:r>
      <w:r w:rsidRPr="009F3034">
        <w:rPr>
          <w:color w:val="0070C0"/>
          <w:szCs w:val="18"/>
        </w:rPr>
        <w:t xml:space="preserve"> </w:t>
      </w:r>
      <w:r w:rsidRPr="009F3034">
        <w:rPr>
          <w:color w:val="333333"/>
          <w:szCs w:val="18"/>
          <w:shd w:val="clear" w:color="auto" w:fill="FFFFFF"/>
        </w:rPr>
        <w:t>Valstybės žinios No. 108-3463, 1001100NUTA00001458,</w:t>
      </w:r>
      <w:r w:rsidRPr="009F3034">
        <w:rPr>
          <w:szCs w:val="18"/>
        </w:rPr>
        <w:t xml:space="preserve"> available at </w:t>
      </w:r>
      <w:hyperlink r:id="rId10" w:history="1">
        <w:r w:rsidRPr="009F3034">
          <w:rPr>
            <w:rStyle w:val="Hyperlink"/>
            <w:szCs w:val="18"/>
          </w:rPr>
          <w:t>https://www.e-tar.lt/portal/en/legalAct/TAR.E3A145C8DD49/eJlUgjbMYg</w:t>
        </w:r>
      </w:hyperlink>
      <w:r w:rsidRPr="009F3034">
        <w:rPr>
          <w:color w:val="0070C0"/>
          <w:szCs w:val="18"/>
        </w:rPr>
        <w:t>.</w:t>
      </w:r>
    </w:p>
  </w:footnote>
  <w:footnote w:id="118">
    <w:p w14:paraId="41DEBE04"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35.1 LLSA.</w:t>
      </w:r>
    </w:p>
  </w:footnote>
  <w:footnote w:id="119">
    <w:p w14:paraId="494B8C1E" w14:textId="07E8401E"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Under 17.6 TRP</w:t>
      </w:r>
      <w:r w:rsidRPr="009F3034">
        <w:rPr>
          <w:rFonts w:eastAsia="Calibri"/>
          <w:color w:val="000000"/>
          <w:szCs w:val="18"/>
        </w:rPr>
        <w:t xml:space="preserve"> Rules, sufficient financial resources for subsistence are set by the Ministry of Social Security and Labour. This equals to 1 minimal monthly salary for one month, according to Article 1.3 of the Order of the Minister of Social Security and Labour ‘On calculating sufficient financial resources for subsistence for foreigners who request residence permits’ (</w:t>
      </w:r>
      <w:r w:rsidRPr="009F3034">
        <w:rPr>
          <w:rFonts w:eastAsia="Calibri"/>
          <w:i/>
          <w:color w:val="000000"/>
          <w:szCs w:val="18"/>
        </w:rPr>
        <w:t>Lietuvos Respublikos Socialinės apsaugos ir darbo ministro įsakymas “Dėl pragyvenimo Lietuvos Respublikoje lėšų dydžio, kuris gali būti laikomas pakankamu pragyventi Lietuvos Respublikoje, užsieniečiui, prašančiam išduoti leidimą gyventi, nustatymo</w:t>
      </w:r>
      <w:r w:rsidRPr="009F3034">
        <w:rPr>
          <w:rFonts w:eastAsia="Calibri"/>
          <w:color w:val="000000"/>
          <w:szCs w:val="18"/>
        </w:rPr>
        <w:t xml:space="preserve">”), 1072230ISAK000A1-22, available at </w:t>
      </w:r>
      <w:hyperlink r:id="rId11" w:history="1">
        <w:r w:rsidRPr="009F3034">
          <w:rPr>
            <w:rStyle w:val="Hyperlink"/>
            <w:rFonts w:eastAsia="Calibri"/>
            <w:szCs w:val="18"/>
          </w:rPr>
          <w:t>https://e-seimas.lrs.lt/portal/legalAct/lt/TAD/TAIS.291849</w:t>
        </w:r>
      </w:hyperlink>
      <w:r w:rsidRPr="009F3034">
        <w:rPr>
          <w:rFonts w:eastAsia="Calibri"/>
          <w:color w:val="000000"/>
          <w:szCs w:val="18"/>
        </w:rPr>
        <w:t xml:space="preserve">. From 1 January 2018, 1 minimal monthly was EUR 400; see Government Resolution ‘On Minimal Pay’ </w:t>
      </w:r>
      <w:r w:rsidRPr="009F3034">
        <w:rPr>
          <w:rFonts w:eastAsia="Calibri"/>
          <w:i/>
          <w:color w:val="000000"/>
          <w:szCs w:val="18"/>
        </w:rPr>
        <w:t>(Lietuvos Respublikos Vyriausybės nutarimas “Dėl minimaliojo darbo užmokesčio“</w:t>
      </w:r>
      <w:r w:rsidRPr="009F3034">
        <w:rPr>
          <w:rFonts w:eastAsia="Calibri"/>
          <w:color w:val="000000"/>
          <w:szCs w:val="18"/>
        </w:rPr>
        <w:t xml:space="preserve">), TAR Nr. 16194,  available at </w:t>
      </w:r>
      <w:hyperlink r:id="rId12" w:history="1">
        <w:r w:rsidRPr="009F3034">
          <w:rPr>
            <w:rStyle w:val="Hyperlink"/>
            <w:rFonts w:eastAsia="Calibri"/>
            <w:szCs w:val="18"/>
          </w:rPr>
          <w:t>https://www.e-tar.lt/portal/lt/legalAct/d6219e10af3e11e7afdadfc0e4460de4</w:t>
        </w:r>
      </w:hyperlink>
      <w:r w:rsidRPr="009F3034">
        <w:rPr>
          <w:rFonts w:eastAsia="Calibri"/>
          <w:color w:val="000000"/>
          <w:szCs w:val="18"/>
        </w:rPr>
        <w:t xml:space="preserve">. </w:t>
      </w:r>
    </w:p>
  </w:footnote>
  <w:footnote w:id="120">
    <w:p w14:paraId="192C82A9" w14:textId="07DA46FB"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In March 2018, the Basic Social Benefit (Bazinė socialinė išmoka) was EUR 38; see </w:t>
      </w:r>
      <w:r w:rsidRPr="009F3034">
        <w:rPr>
          <w:szCs w:val="18"/>
        </w:rPr>
        <w:fldChar w:fldCharType="begin"/>
      </w:r>
      <w:r w:rsidRPr="009F3034">
        <w:rPr>
          <w:szCs w:val="18"/>
        </w:rPr>
        <w:instrText xml:space="preserve"> ADDIN ZOTERO_ITEM CSL_CITATION {"citationID":"3XIEaDQg","properties":{"formattedCitation":"SoDra, \\uc0\\u8220{}Core Social Indicators (Pagrindiniai Socialiniai Rodikliai).\\uc0\\u8221{}","plainCitation":"SoDra, “Core Social Indicators (Pagrindiniai Socialiniai Rodikliai).”","noteIndex":122},"citationItems":[{"id":1323,"uris":["http://zotero.org/users/1614103/items/CLQ2XNFN"],"uri":["http://zotero.org/users/1614103/items/CLQ2XNFN"],"itemData":{"id":1323,"type":"webpage","title":"Core social indicators (Pagrindiniai socialiniai rodikliai)","URL":"http://www.sodra.lt/lt/situacijos/statistika/pagrindiniai-socialiniai-rodikliai","author":[{"family":"SoDra","given":""}],"accessed":{"date-parts":[["2018",3,6]]}}}],"schema":"https://github.com/citation-style-language/schema/raw/master/csl-citation.json"} </w:instrText>
      </w:r>
      <w:r w:rsidRPr="009F3034">
        <w:rPr>
          <w:szCs w:val="18"/>
        </w:rPr>
        <w:fldChar w:fldCharType="separate"/>
      </w:r>
      <w:r w:rsidRPr="009F3034">
        <w:rPr>
          <w:szCs w:val="18"/>
        </w:rPr>
        <w:t>SoDra, “Core Social Indicators (Pagrindiniai Socialiniai Rodikliai).”</w:t>
      </w:r>
      <w:r w:rsidRPr="009F3034">
        <w:rPr>
          <w:szCs w:val="18"/>
        </w:rPr>
        <w:fldChar w:fldCharType="end"/>
      </w:r>
    </w:p>
  </w:footnote>
  <w:footnote w:id="121">
    <w:p w14:paraId="414DE27E" w14:textId="1FD28112" w:rsidR="009F3034" w:rsidRPr="009F3034" w:rsidRDefault="009F3034" w:rsidP="009F3034">
      <w:pPr>
        <w:pStyle w:val="FootnoteText"/>
        <w:jc w:val="left"/>
        <w:rPr>
          <w:szCs w:val="18"/>
          <w:lang w:val="en-US"/>
        </w:rPr>
      </w:pPr>
      <w:r w:rsidRPr="009F3034">
        <w:rPr>
          <w:rStyle w:val="FootnoteReference"/>
          <w:szCs w:val="18"/>
        </w:rPr>
        <w:footnoteRef/>
      </w:r>
      <w:r w:rsidRPr="009F3034">
        <w:rPr>
          <w:szCs w:val="18"/>
        </w:rPr>
        <w:t xml:space="preserve"> The law does not seem to specify exact circumstances/examples. The serious grounds to believe that there is a risk of illegal migration are assessed at the TRP application stage, where the Migration Department sends a request to the State Border Guard Service to check whether the foreigner may pose risk to the public security or whether there are serious grounds to believe that there is a risk of illegal migration</w:t>
      </w:r>
    </w:p>
  </w:footnote>
  <w:footnote w:id="122">
    <w:p w14:paraId="5B9D53C0"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Articles 122, 123 TRP Rules.</w:t>
      </w:r>
    </w:p>
  </w:footnote>
  <w:footnote w:id="123">
    <w:p w14:paraId="2BE25B6A"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Information with the Migration Department; competent authority on migration issues; 28 February 2018.</w:t>
      </w:r>
    </w:p>
  </w:footnote>
  <w:footnote w:id="124">
    <w:p w14:paraId="25D9AB0E" w14:textId="77777777" w:rsidR="009F3034" w:rsidRPr="009F3034" w:rsidRDefault="009F3034" w:rsidP="009F3034">
      <w:pPr>
        <w:pStyle w:val="FootnoteText"/>
        <w:jc w:val="left"/>
        <w:rPr>
          <w:szCs w:val="18"/>
          <w:lang w:val="lt-LT"/>
        </w:rPr>
      </w:pPr>
      <w:r w:rsidRPr="009F3034">
        <w:rPr>
          <w:rStyle w:val="FootnoteReference"/>
          <w:szCs w:val="18"/>
        </w:rPr>
        <w:footnoteRef/>
      </w:r>
      <w:r w:rsidRPr="009F3034">
        <w:rPr>
          <w:szCs w:val="18"/>
        </w:rPr>
        <w:t xml:space="preserve"> </w:t>
      </w:r>
      <w:r w:rsidRPr="009F3034">
        <w:rPr>
          <w:szCs w:val="18"/>
          <w:lang w:val="lt-LT"/>
        </w:rPr>
        <w:t xml:space="preserve">Articles </w:t>
      </w:r>
      <w:bookmarkStart w:id="33" w:name="_Hlk508568897"/>
      <w:r w:rsidRPr="009F3034">
        <w:rPr>
          <w:color w:val="000000"/>
          <w:szCs w:val="18"/>
          <w:lang w:eastAsia="lt-LT"/>
        </w:rPr>
        <w:t>71.3.1</w:t>
      </w:r>
      <w:bookmarkEnd w:id="33"/>
      <w:r w:rsidRPr="009F3034">
        <w:rPr>
          <w:color w:val="000000"/>
          <w:szCs w:val="18"/>
          <w:lang w:eastAsia="lt-LT"/>
        </w:rPr>
        <w:t>-</w:t>
      </w:r>
    </w:p>
  </w:footnote>
  <w:footnote w:id="125">
    <w:p w14:paraId="2A83FEBF"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Information with the Migration Department; competent authority on migration issues; 28 February 2018.</w:t>
      </w:r>
    </w:p>
  </w:footnote>
  <w:footnote w:id="126">
    <w:p w14:paraId="24D0A3E1"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w:t>
      </w:r>
      <w:r w:rsidRPr="009F3034">
        <w:rPr>
          <w:color w:val="000000"/>
          <w:szCs w:val="18"/>
        </w:rPr>
        <w:t xml:space="preserve">Article 9 of the Order of the Minister of the Interior ‘On the Regulations of the Migration Department at the Ministry of the Interior’ (“Dėl Migracijos departamento prie Vidaus reikalų ministerijos nuostatų patvirtinimo”), Valstybės žinios No. 86-2639, 1002310ISAK00000388, available at </w:t>
      </w:r>
      <w:hyperlink r:id="rId13" w:history="1">
        <w:r w:rsidRPr="009F3034">
          <w:rPr>
            <w:rStyle w:val="Hyperlink"/>
            <w:szCs w:val="18"/>
          </w:rPr>
          <w:t>https://www.e-tar.lt/portal/en/legalAct/TAR.AC68574D989E/YAEOHqXizC</w:t>
        </w:r>
      </w:hyperlink>
      <w:r w:rsidRPr="009F3034">
        <w:rPr>
          <w:szCs w:val="18"/>
        </w:rPr>
        <w:t>..</w:t>
      </w:r>
      <w:r w:rsidRPr="009F3034">
        <w:rPr>
          <w:color w:val="000000"/>
          <w:szCs w:val="18"/>
        </w:rPr>
        <w:t xml:space="preserve"> </w:t>
      </w:r>
    </w:p>
  </w:footnote>
  <w:footnote w:id="127">
    <w:p w14:paraId="732BB4F1"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21 </w:t>
      </w:r>
      <w:r w:rsidRPr="009F3034">
        <w:rPr>
          <w:color w:val="000000"/>
          <w:szCs w:val="18"/>
        </w:rPr>
        <w:t>Migration Department Regulations.</w:t>
      </w:r>
    </w:p>
  </w:footnote>
  <w:footnote w:id="128">
    <w:p w14:paraId="6EC98951" w14:textId="5CC78D33"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w:t>
      </w:r>
      <w:r w:rsidRPr="009F3034">
        <w:rPr>
          <w:szCs w:val="18"/>
        </w:rPr>
        <w:fldChar w:fldCharType="begin"/>
      </w:r>
      <w:r w:rsidRPr="009F3034">
        <w:rPr>
          <w:szCs w:val="18"/>
        </w:rPr>
        <w:instrText xml:space="preserve"> ADDIN ZOTERO_ITEM CSL_CITATION {"citationID":"30bSXZha","properties":{"formattedCitation":"National Audit Office of Lithuania, \\uc0\\u8220{}I\\uc0\\u353{}ankstinio Tyrimo Ataskaita: Immigracijos Proces\\uc0\\u371{} Valdymas [Preliminary Findings: Administration of Immigration Processes].\\uc0\\u8221{}","plainCitation":"National Audit Office of Lithuania, “Išankstinio Tyrimo Ataskaita: Immigracijos Procesų Valdymas [Preliminary Findings: Administration of Immigration Processes].”","noteIndex":129},"citationItems":[{"id":1326,"uris":["http://zotero.org/users/1614103/items/42S7A7EJ"],"uri":["http://zotero.org/users/1614103/items/42S7A7EJ"],"itemData":{"id":1326,"type":"report","title":"Išankstinio tyrimo ataskaita: Immigracijos procesų valdymas [Preliminary findings: Administration of Immigration processes]","publisher":"Valstybės Kontrolė","publisher-place":"Vilnius","event-place":"Vilnius","URL":"https://www.vkontrole.lt/failas.aspx?id=3327","author":[{"family":"National Audit Office of Lithuania","given":""}],"issued":{"date-parts":[["2015"]]},"accessed":{"date-parts":[["2018",3,5]]}}}],"schema":"https://github.com/citation-style-language/schema/raw/master/csl-citation.json"} </w:instrText>
      </w:r>
      <w:r w:rsidRPr="009F3034">
        <w:rPr>
          <w:szCs w:val="18"/>
        </w:rPr>
        <w:fldChar w:fldCharType="separate"/>
      </w:r>
      <w:r w:rsidRPr="009F3034">
        <w:rPr>
          <w:szCs w:val="18"/>
        </w:rPr>
        <w:t>National Audit Office of Lithuania, “Išankstinio Tyrimo Ataskaita: Immigracijos Procesų Valdymas [Preliminary Findings: Administration of Immigration Processes].”</w:t>
      </w:r>
      <w:r w:rsidRPr="009F3034">
        <w:rPr>
          <w:szCs w:val="18"/>
        </w:rPr>
        <w:fldChar w:fldCharType="end"/>
      </w:r>
    </w:p>
  </w:footnote>
  <w:footnote w:id="129">
    <w:p w14:paraId="44A5EDB9" w14:textId="0B80090B" w:rsidR="009F3034" w:rsidRPr="009F3034" w:rsidRDefault="009F3034" w:rsidP="009F3034">
      <w:pPr>
        <w:pStyle w:val="FootnoteText"/>
        <w:jc w:val="left"/>
        <w:rPr>
          <w:szCs w:val="18"/>
          <w:lang w:val="lt-LT"/>
        </w:rPr>
      </w:pPr>
      <w:r w:rsidRPr="009F3034">
        <w:rPr>
          <w:rStyle w:val="FootnoteReference"/>
          <w:szCs w:val="18"/>
        </w:rPr>
        <w:footnoteRef/>
      </w:r>
      <w:r w:rsidRPr="009F3034">
        <w:rPr>
          <w:szCs w:val="18"/>
        </w:rPr>
        <w:t xml:space="preserve"> </w:t>
      </w:r>
      <w:r w:rsidRPr="009F3034">
        <w:rPr>
          <w:szCs w:val="18"/>
        </w:rPr>
        <w:fldChar w:fldCharType="begin"/>
      </w:r>
      <w:r w:rsidRPr="009F3034">
        <w:rPr>
          <w:szCs w:val="18"/>
        </w:rPr>
        <w:instrText xml:space="preserve"> ADDIN ZOTERO_ITEM CSL_CITATION {"citationID":"G12dvtdT","properties":{"formattedCitation":"National Audit Office of Lithuania, 7\\uc0\\u8211{}8.","plainCitation":"National Audit Office of Lithuania, 7–8.","noteIndex":130},"citationItems":[{"id":1326,"uris":["http://zotero.org/users/1614103/items/42S7A7EJ"],"uri":["http://zotero.org/users/1614103/items/42S7A7EJ"],"itemData":{"id":1326,"type":"report","title":"Išankstinio tyrimo ataskaita: Immigracijos procesų valdymas [Preliminary findings: Administration of Immigration processes]","publisher":"Valstybės Kontrolė","publisher-place":"Vilnius","event-place":"Vilnius","URL":"https://www.vkontrole.lt/failas.aspx?id=3327","author":[{"family":"National Audit Office of Lithuania","given":""}],"issued":{"date-parts":[["2015"]]},"accessed":{"date-parts":[["2018",3,5]]}},"locator":"7-8"}],"schema":"https://github.com/citation-style-language/schema/raw/master/csl-citation.json"} </w:instrText>
      </w:r>
      <w:r w:rsidRPr="009F3034">
        <w:rPr>
          <w:szCs w:val="18"/>
        </w:rPr>
        <w:fldChar w:fldCharType="separate"/>
      </w:r>
      <w:r w:rsidRPr="009F3034">
        <w:rPr>
          <w:szCs w:val="18"/>
        </w:rPr>
        <w:t>National Audit Office of Lithuania, 7–8.</w:t>
      </w:r>
      <w:r w:rsidRPr="009F3034">
        <w:rPr>
          <w:szCs w:val="18"/>
        </w:rPr>
        <w:fldChar w:fldCharType="end"/>
      </w:r>
    </w:p>
  </w:footnote>
  <w:footnote w:id="130">
    <w:p w14:paraId="2C9DB171"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Information with the Migration Department; competent authority on migration issues; 28 February 2018.</w:t>
      </w:r>
    </w:p>
  </w:footnote>
  <w:footnote w:id="131">
    <w:p w14:paraId="38AD10B8" w14:textId="45955A00"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w:t>
      </w:r>
      <w:r w:rsidRPr="009F3034">
        <w:rPr>
          <w:szCs w:val="18"/>
        </w:rPr>
        <w:fldChar w:fldCharType="begin"/>
      </w:r>
      <w:r w:rsidRPr="009F3034">
        <w:rPr>
          <w:szCs w:val="18"/>
        </w:rPr>
        <w:instrText xml:space="preserve"> ADDIN ZOTERO_ITEM CSL_CITATION {"citationID":"X2kDOcFo","properties":{"formattedCitation":"\\uc0\\u8220{}Migration Department - News: Decisions on Temporary Residence Permit of the Republic of Lithuania,\\uc0\\u8221{} accessed March 18, 2018, http://www.migracija.lt/index.php?1373576451.","plainCitation":"“Migration Department - News: Decisions on Temporary Residence Permit of the Republic of Lithuania,” accessed March 18, 2018, http://www.migracija.lt/index.php?1373576451.","noteIndex":132},"citationItems":[{"id":1367,"uris":["http://zotero.org/users/1614103/items/RX77ANYX"],"uri":["http://zotero.org/users/1614103/items/RX77ANYX"],"itemData":{"id":1367,"type":"webpage","title":"Migration Department - News: Decisions on temporary residence permit of the Republic of Lithuania","URL":"http://www.migracija.lt/index.php?1373576451","accessed":{"date-parts":[["2018",3,18]]}}}],"schema":"https://github.com/citation-style-language/schema/raw/master/csl-citation.json"} </w:instrText>
      </w:r>
      <w:r w:rsidRPr="009F3034">
        <w:rPr>
          <w:szCs w:val="18"/>
        </w:rPr>
        <w:fldChar w:fldCharType="separate"/>
      </w:r>
      <w:r w:rsidRPr="009F3034">
        <w:rPr>
          <w:szCs w:val="18"/>
        </w:rPr>
        <w:t>“Migration Department - News: Decisions on Temporary Residence Permit of the Republic of Lithuania,” accessed March 18, 2018, http://www.migracija.lt/index.php?1373576451.</w:t>
      </w:r>
      <w:r w:rsidRPr="009F3034">
        <w:rPr>
          <w:szCs w:val="18"/>
        </w:rPr>
        <w:fldChar w:fldCharType="end"/>
      </w:r>
    </w:p>
  </w:footnote>
  <w:footnote w:id="132">
    <w:p w14:paraId="6267466C" w14:textId="77777777" w:rsidR="009F3034" w:rsidRPr="009F3034" w:rsidRDefault="009F3034" w:rsidP="009F3034">
      <w:pPr>
        <w:pStyle w:val="FootnoteText"/>
        <w:jc w:val="left"/>
        <w:rPr>
          <w:szCs w:val="18"/>
          <w:lang w:val="es-ES_tradnl"/>
        </w:rPr>
      </w:pPr>
      <w:r w:rsidRPr="009F3034">
        <w:rPr>
          <w:rStyle w:val="FootnoteReference"/>
          <w:szCs w:val="18"/>
        </w:rPr>
        <w:footnoteRef/>
      </w:r>
      <w:r w:rsidRPr="009F3034">
        <w:rPr>
          <w:szCs w:val="18"/>
          <w:lang w:val="es-ES_tradnl"/>
        </w:rPr>
        <w:t xml:space="preserve"> Article 40.1(5) LLSA.</w:t>
      </w:r>
    </w:p>
  </w:footnote>
  <w:footnote w:id="133">
    <w:p w14:paraId="2F05866F" w14:textId="77777777" w:rsidR="009F3034" w:rsidRPr="009F3034" w:rsidRDefault="009F3034" w:rsidP="009F3034">
      <w:pPr>
        <w:pStyle w:val="FootnoteText"/>
        <w:jc w:val="left"/>
        <w:rPr>
          <w:szCs w:val="18"/>
          <w:lang w:val="es-ES_tradnl"/>
        </w:rPr>
      </w:pPr>
      <w:r w:rsidRPr="009F3034">
        <w:rPr>
          <w:rStyle w:val="FootnoteReference"/>
          <w:szCs w:val="18"/>
        </w:rPr>
        <w:footnoteRef/>
      </w:r>
      <w:r w:rsidRPr="009F3034">
        <w:rPr>
          <w:szCs w:val="18"/>
          <w:lang w:val="es-ES_tradnl"/>
        </w:rPr>
        <w:t xml:space="preserve"> Article 45.1(2</w:t>
      </w:r>
      <w:r w:rsidRPr="009F3034">
        <w:rPr>
          <w:szCs w:val="18"/>
          <w:vertAlign w:val="superscript"/>
          <w:lang w:val="es-ES_tradnl"/>
        </w:rPr>
        <w:t>2</w:t>
      </w:r>
      <w:r w:rsidRPr="009F3034">
        <w:rPr>
          <w:szCs w:val="18"/>
          <w:lang w:val="es-ES_tradnl"/>
        </w:rPr>
        <w:t>) LLSA.</w:t>
      </w:r>
    </w:p>
  </w:footnote>
  <w:footnote w:id="134">
    <w:p w14:paraId="02032B11" w14:textId="77777777" w:rsidR="009F3034" w:rsidRPr="009F3034" w:rsidRDefault="009F3034" w:rsidP="009F3034">
      <w:pPr>
        <w:pStyle w:val="FootnoteText"/>
        <w:jc w:val="left"/>
        <w:rPr>
          <w:szCs w:val="18"/>
          <w:lang w:val="es-ES_tradnl"/>
        </w:rPr>
      </w:pPr>
      <w:r w:rsidRPr="009F3034">
        <w:rPr>
          <w:rStyle w:val="FootnoteReference"/>
          <w:szCs w:val="18"/>
        </w:rPr>
        <w:footnoteRef/>
      </w:r>
      <w:r w:rsidRPr="009F3034">
        <w:rPr>
          <w:szCs w:val="18"/>
          <w:lang w:val="es-ES_tradnl"/>
        </w:rPr>
        <w:t xml:space="preserve"> Article 45.1(3) LLSA.</w:t>
      </w:r>
    </w:p>
  </w:footnote>
  <w:footnote w:id="135">
    <w:p w14:paraId="4E97DD61" w14:textId="77777777" w:rsidR="009F3034" w:rsidRPr="009F3034" w:rsidRDefault="009F3034" w:rsidP="009F3034">
      <w:pPr>
        <w:pStyle w:val="FootnoteText"/>
        <w:jc w:val="left"/>
        <w:rPr>
          <w:szCs w:val="18"/>
          <w:lang w:val="es-ES_tradnl"/>
        </w:rPr>
      </w:pPr>
      <w:r w:rsidRPr="009F3034">
        <w:rPr>
          <w:rStyle w:val="FootnoteReference"/>
          <w:szCs w:val="18"/>
        </w:rPr>
        <w:footnoteRef/>
      </w:r>
      <w:r w:rsidRPr="009F3034">
        <w:rPr>
          <w:szCs w:val="18"/>
          <w:lang w:val="es-ES_tradnl"/>
        </w:rPr>
        <w:t xml:space="preserve"> Article 45.1(4) LLSA.</w:t>
      </w:r>
    </w:p>
  </w:footnote>
  <w:footnote w:id="136">
    <w:p w14:paraId="3314A08B" w14:textId="77777777" w:rsidR="009F3034" w:rsidRPr="009F3034" w:rsidRDefault="009F3034" w:rsidP="009F3034">
      <w:pPr>
        <w:pStyle w:val="FootnoteText"/>
        <w:jc w:val="left"/>
        <w:rPr>
          <w:szCs w:val="18"/>
          <w:lang w:val="es-ES_tradnl"/>
        </w:rPr>
      </w:pPr>
      <w:r w:rsidRPr="009F3034">
        <w:rPr>
          <w:rStyle w:val="FootnoteReference"/>
          <w:szCs w:val="18"/>
        </w:rPr>
        <w:footnoteRef/>
      </w:r>
      <w:r w:rsidRPr="009F3034">
        <w:rPr>
          <w:szCs w:val="18"/>
          <w:lang w:val="es-ES_tradnl"/>
        </w:rPr>
        <w:t xml:space="preserve"> Article 45.1(5) LLSA.</w:t>
      </w:r>
    </w:p>
  </w:footnote>
  <w:footnote w:id="137">
    <w:p w14:paraId="395FB7DB" w14:textId="77777777" w:rsidR="009F3034" w:rsidRPr="009F3034" w:rsidRDefault="009F3034" w:rsidP="009F3034">
      <w:pPr>
        <w:pStyle w:val="FootnoteText"/>
        <w:jc w:val="left"/>
        <w:rPr>
          <w:szCs w:val="18"/>
          <w:lang w:val="es-ES_tradnl"/>
        </w:rPr>
      </w:pPr>
      <w:r w:rsidRPr="009F3034">
        <w:rPr>
          <w:rStyle w:val="FootnoteReference"/>
          <w:szCs w:val="18"/>
        </w:rPr>
        <w:footnoteRef/>
      </w:r>
      <w:r w:rsidRPr="009F3034">
        <w:rPr>
          <w:szCs w:val="18"/>
          <w:lang w:val="es-ES_tradnl"/>
        </w:rPr>
        <w:t xml:space="preserve"> Article 45.1(6) LLSA.</w:t>
      </w:r>
    </w:p>
  </w:footnote>
  <w:footnote w:id="138">
    <w:p w14:paraId="281D31B7" w14:textId="77777777" w:rsidR="009F3034" w:rsidRPr="009F3034" w:rsidRDefault="009F3034" w:rsidP="009F3034">
      <w:pPr>
        <w:pStyle w:val="FootnoteText"/>
        <w:jc w:val="left"/>
        <w:rPr>
          <w:szCs w:val="18"/>
          <w:lang w:val="es-ES_tradnl"/>
        </w:rPr>
      </w:pPr>
      <w:r w:rsidRPr="009F3034">
        <w:rPr>
          <w:rStyle w:val="FootnoteReference"/>
          <w:szCs w:val="18"/>
        </w:rPr>
        <w:footnoteRef/>
      </w:r>
      <w:r w:rsidRPr="009F3034">
        <w:rPr>
          <w:szCs w:val="18"/>
          <w:lang w:val="es-ES_tradnl"/>
        </w:rPr>
        <w:t xml:space="preserve"> Article 45.1(7) LLSA.</w:t>
      </w:r>
    </w:p>
  </w:footnote>
  <w:footnote w:id="139">
    <w:p w14:paraId="0308F534" w14:textId="77777777" w:rsidR="009F3034" w:rsidRPr="009F3034" w:rsidRDefault="009F3034" w:rsidP="009F3034">
      <w:pPr>
        <w:pStyle w:val="FootnoteText"/>
        <w:jc w:val="left"/>
        <w:rPr>
          <w:szCs w:val="18"/>
          <w:lang w:val="es-ES_tradnl"/>
        </w:rPr>
      </w:pPr>
      <w:r w:rsidRPr="009F3034">
        <w:rPr>
          <w:rStyle w:val="FootnoteReference"/>
          <w:szCs w:val="18"/>
        </w:rPr>
        <w:footnoteRef/>
      </w:r>
      <w:r w:rsidRPr="009F3034">
        <w:rPr>
          <w:szCs w:val="18"/>
          <w:lang w:val="es-ES_tradnl"/>
        </w:rPr>
        <w:t xml:space="preserve"> Article 45.1(8) LLSA.</w:t>
      </w:r>
    </w:p>
  </w:footnote>
  <w:footnote w:id="140">
    <w:p w14:paraId="1332D1B0" w14:textId="686316E3" w:rsidR="009F3034" w:rsidRPr="009F3034" w:rsidRDefault="009F3034" w:rsidP="009F3034">
      <w:pPr>
        <w:pStyle w:val="FootnoteText"/>
        <w:jc w:val="left"/>
        <w:rPr>
          <w:szCs w:val="18"/>
          <w:lang w:val="es-ES_tradnl"/>
        </w:rPr>
      </w:pPr>
      <w:r w:rsidRPr="009F3034">
        <w:rPr>
          <w:rStyle w:val="FootnoteReference"/>
          <w:szCs w:val="18"/>
        </w:rPr>
        <w:footnoteRef/>
      </w:r>
      <w:r w:rsidRPr="009F3034">
        <w:rPr>
          <w:szCs w:val="18"/>
          <w:lang w:val="es-ES_tradnl"/>
        </w:rPr>
        <w:t xml:space="preserve"> </w:t>
      </w:r>
      <w:r w:rsidRPr="009F3034">
        <w:rPr>
          <w:szCs w:val="18"/>
        </w:rPr>
        <w:fldChar w:fldCharType="begin"/>
      </w:r>
      <w:r w:rsidRPr="009F3034">
        <w:rPr>
          <w:szCs w:val="18"/>
          <w:lang w:val="es-ES"/>
        </w:rPr>
        <w:instrText xml:space="preserve"> ADDIN ZOTERO_ITEM CSL_CITATION {"citationID":"FWFKgvJS","properties":{"formattedCitation":"Migration Department, \\uc0\\u8220{}Migration Yearbook (Migracijos Metra\\uc0\\u353{}tis)\\uc0\\u8221{} (Vilnius, 2014), 3, http://www.migracija.lt/index.php?-1704151938.","plainCitation":"Migration Department, “Migration Yearbook (Migracijos Metraštis)” (Vilnius, 2014), 3, http://www.migracija.lt/index.php?-1704151938.","noteIndex":141},"citationItems":[{"id":1319,"uris":["http://zotero.org/users/1614103/items/923LN7IR"],"uri":["http://zotero.org/users/1614103/items/923LN7IR"],"itemData":{"id":1319,"type":"report","title":"Migration Yearbook (Migracijos metraštis)","publisher-place":"Vilnius","event-place":"Vilnius","URL":"http://www.migracija.lt/index.php?-1704151938","language":"EN","author":[{"family":"Migration Department","given":""}],"issued":{"date-parts":[["2014"]]},"accessed":{"date-parts":[["2018",3,5]]}},"locator":"3"}],"schema":"https://github.com/citation-style-language/schema/raw/master/csl-citation.json"} </w:instrText>
      </w:r>
      <w:r w:rsidRPr="009F3034">
        <w:rPr>
          <w:szCs w:val="18"/>
        </w:rPr>
        <w:fldChar w:fldCharType="separate"/>
      </w:r>
      <w:r w:rsidRPr="009F3034">
        <w:rPr>
          <w:szCs w:val="18"/>
          <w:lang w:val="es-ES_tradnl"/>
        </w:rPr>
        <w:t>Migration Department, “Migration Yearbook (Migracijos Metraštis)” (Vilnius, 2014), 3, http://www.migracija.lt/index.php?-1704151938.</w:t>
      </w:r>
      <w:r w:rsidRPr="009F3034">
        <w:rPr>
          <w:szCs w:val="18"/>
        </w:rPr>
        <w:fldChar w:fldCharType="end"/>
      </w:r>
    </w:p>
  </w:footnote>
  <w:footnote w:id="141">
    <w:p w14:paraId="1FA2FC98" w14:textId="37FDFF48" w:rsidR="009F3034" w:rsidRPr="009F3034" w:rsidRDefault="009F3034" w:rsidP="009F3034">
      <w:pPr>
        <w:pStyle w:val="FootnoteText"/>
        <w:jc w:val="left"/>
        <w:rPr>
          <w:szCs w:val="18"/>
          <w:lang w:val="es-ES"/>
        </w:rPr>
      </w:pPr>
      <w:r w:rsidRPr="009F3034">
        <w:rPr>
          <w:rStyle w:val="FootnoteReference"/>
          <w:szCs w:val="18"/>
        </w:rPr>
        <w:footnoteRef/>
      </w:r>
      <w:r w:rsidRPr="009F3034">
        <w:rPr>
          <w:szCs w:val="18"/>
          <w:lang w:val="es-ES"/>
        </w:rPr>
        <w:t xml:space="preserve"> </w:t>
      </w:r>
      <w:r w:rsidRPr="009F3034">
        <w:rPr>
          <w:szCs w:val="18"/>
        </w:rPr>
        <w:fldChar w:fldCharType="begin"/>
      </w:r>
      <w:r w:rsidRPr="009F3034">
        <w:rPr>
          <w:szCs w:val="18"/>
          <w:lang w:val="es-ES"/>
        </w:rPr>
        <w:instrText xml:space="preserve"> ADDIN ZOTERO_ITEM CSL_CITATION {"citationID":"23mXfvaF","properties":{"formattedCitation":"Migration Department, \\uc0\\u8220{}Migration Yearbook (Migracijos Metra\\uc0\\u353{}tis)\\uc0\\u8221{} (Vilnius, 2012), http://www.migracija.lt/index.php?-1704151938.","plainCitation":"Migration Department, “Migration Yearbook (Migracijos Metraštis)” (Vilnius, 2012), http://www.migracija.lt/index.php?-1704151938.","noteIndex":142},"citationItems":[{"id":1321,"uris":["http://zotero.org/users/1614103/items/3KTWFMJF"],"uri":["http://zotero.org/users/1614103/items/3KTWFMJF"],"itemData":{"id":1321,"type":"report","title":"Migration Yearbook (Migracijos metraštis)","publisher-place":"Vilnius","event-place":"Vilnius","URL":"http://www.migracija.lt/index.php?-1704151938","language":"EN","author":[{"family":"Migration Department","given":""}],"issued":{"date-parts":[["2012"]]},"accessed":{"date-parts":[["2018",3,5]]}}}],"schema":"https://github.com/citation-style-language/schema/raw/master/csl-citation.json"} </w:instrText>
      </w:r>
      <w:r w:rsidRPr="009F3034">
        <w:rPr>
          <w:szCs w:val="18"/>
        </w:rPr>
        <w:fldChar w:fldCharType="separate"/>
      </w:r>
      <w:r w:rsidRPr="009F3034">
        <w:rPr>
          <w:szCs w:val="18"/>
          <w:lang w:val="es-ES"/>
        </w:rPr>
        <w:t>Migration Department, “Migration Yearbook (Migracijos Metraštis)” (Vilnius, 2012), http://www.migracija.lt/index.php?-1704151938.</w:t>
      </w:r>
      <w:r w:rsidRPr="009F3034">
        <w:rPr>
          <w:szCs w:val="18"/>
        </w:rPr>
        <w:fldChar w:fldCharType="end"/>
      </w:r>
    </w:p>
  </w:footnote>
  <w:footnote w:id="142">
    <w:p w14:paraId="4AC11AC6" w14:textId="5CCBC174" w:rsidR="009F3034" w:rsidRPr="009F3034" w:rsidRDefault="009F3034" w:rsidP="009F3034">
      <w:pPr>
        <w:pStyle w:val="FootnoteText"/>
        <w:jc w:val="left"/>
        <w:rPr>
          <w:szCs w:val="18"/>
          <w:lang w:val="es-ES"/>
        </w:rPr>
      </w:pPr>
      <w:r w:rsidRPr="009F3034">
        <w:rPr>
          <w:rStyle w:val="FootnoteReference"/>
          <w:szCs w:val="18"/>
        </w:rPr>
        <w:footnoteRef/>
      </w:r>
      <w:r w:rsidRPr="009F3034">
        <w:rPr>
          <w:szCs w:val="18"/>
          <w:lang w:val="es-ES"/>
        </w:rPr>
        <w:t xml:space="preserve"> </w:t>
      </w:r>
      <w:r w:rsidRPr="009F3034">
        <w:rPr>
          <w:szCs w:val="18"/>
        </w:rPr>
        <w:fldChar w:fldCharType="begin"/>
      </w:r>
      <w:r w:rsidRPr="009F3034">
        <w:rPr>
          <w:szCs w:val="18"/>
          <w:lang w:val="es-ES"/>
        </w:rPr>
        <w:instrText xml:space="preserve"> ADDIN ZOTERO_ITEM CSL_CITATION {"citationID":"SHCMmLSf","properties":{"formattedCitation":"Migration Department, \\uc0\\u8220{}Migration Yearbook (Migracijos Metra\\uc0\\u353{}tis),\\uc0\\u8221{} 2013.","plainCitation":"Migration Department, “Migration Yearbook (Migracijos Metraštis),” 2013.","noteIndex":143},"citationItems":[{"id":1320,"uris":["http://zotero.org/users/1614103/items/WUXIZWYC"],"uri":["http://zotero.org/users/1614103/items/WUXIZWYC"],"itemData":{"id":1320,"type":"report","title":"Migration Yearbook (Migracijos metraštis)","publisher-place":"Vilnius","event-place":"Vilnius","URL":"http://www.migracija.lt/index.php?-1704151938","language":"EN","author":[{"family":"Migration Department","given":""}],"issued":{"date-parts":[["2013"]]},"accessed":{"date-parts":[["2018",3,5]]}}}],"schema":"https://github.com/citation-style-language/schema/raw/master/csl-citation.json"} </w:instrText>
      </w:r>
      <w:r w:rsidRPr="009F3034">
        <w:rPr>
          <w:szCs w:val="18"/>
        </w:rPr>
        <w:fldChar w:fldCharType="separate"/>
      </w:r>
      <w:r w:rsidRPr="009F3034">
        <w:rPr>
          <w:szCs w:val="18"/>
          <w:lang w:val="es-ES"/>
        </w:rPr>
        <w:t>Migration Department, “Migration Yearbook (Migracijos Metraštis),” 2013.</w:t>
      </w:r>
      <w:r w:rsidRPr="009F3034">
        <w:rPr>
          <w:szCs w:val="18"/>
        </w:rPr>
        <w:fldChar w:fldCharType="end"/>
      </w:r>
    </w:p>
  </w:footnote>
  <w:footnote w:id="143">
    <w:p w14:paraId="6D2D09AD" w14:textId="0FD6B779" w:rsidR="009F3034" w:rsidRPr="009F3034" w:rsidRDefault="009F3034" w:rsidP="009F3034">
      <w:pPr>
        <w:pStyle w:val="FootnoteText"/>
        <w:jc w:val="left"/>
        <w:rPr>
          <w:szCs w:val="18"/>
          <w:lang w:val="es-ES"/>
        </w:rPr>
      </w:pPr>
      <w:r w:rsidRPr="009F3034">
        <w:rPr>
          <w:rStyle w:val="FootnoteReference"/>
          <w:szCs w:val="18"/>
        </w:rPr>
        <w:footnoteRef/>
      </w:r>
      <w:r w:rsidRPr="009F3034">
        <w:rPr>
          <w:szCs w:val="18"/>
          <w:lang w:val="es-ES"/>
        </w:rPr>
        <w:t xml:space="preserve"> </w:t>
      </w:r>
      <w:r w:rsidRPr="009F3034">
        <w:rPr>
          <w:szCs w:val="18"/>
        </w:rPr>
        <w:fldChar w:fldCharType="begin"/>
      </w:r>
      <w:r w:rsidRPr="009F3034">
        <w:rPr>
          <w:szCs w:val="18"/>
          <w:lang w:val="es-ES"/>
        </w:rPr>
        <w:instrText xml:space="preserve"> ADDIN ZOTERO_ITEM CSL_CITATION {"citationID":"5wBWGTzL","properties":{"formattedCitation":"Migration Department, \\uc0\\u8220{}Migration Yearbook (Migracijos Metra\\uc0\\u353{}tis),\\uc0\\u8221{} 2014.","plainCitation":"Migration Department, “Migration Yearbook (Migracijos Metraštis),” 2014.","noteIndex":144},"citationItems":[{"id":1319,"uris":["http://zotero.org/users/1614103/items/923LN7IR"],"uri":["http://zotero.org/users/1614103/items/923LN7IR"],"itemData":{"id":1319,"type":"report","title":"Migration Yearbook (Migracijos metraštis)","publisher-place":"Vilnius","event-place":"Vilnius","URL":"http://www.migracija.lt/index.php?-1704151938","language":"EN","author":[{"family":"Migration Department","given":""}],"issued":{"date-parts":[["2014"]]},"accessed":{"date-parts":[["2018",3,5]]}}}],"schema":"https://github.com/citation-style-language/schema/raw/master/csl-citation.json"} </w:instrText>
      </w:r>
      <w:r w:rsidRPr="009F3034">
        <w:rPr>
          <w:szCs w:val="18"/>
        </w:rPr>
        <w:fldChar w:fldCharType="separate"/>
      </w:r>
      <w:r w:rsidRPr="009F3034">
        <w:rPr>
          <w:szCs w:val="18"/>
          <w:lang w:val="es-ES"/>
        </w:rPr>
        <w:t>Migration Department, “Migration Yearbook (Migracijos Metraštis),” 2014.</w:t>
      </w:r>
      <w:r w:rsidRPr="009F3034">
        <w:rPr>
          <w:szCs w:val="18"/>
        </w:rPr>
        <w:fldChar w:fldCharType="end"/>
      </w:r>
    </w:p>
  </w:footnote>
  <w:footnote w:id="144">
    <w:p w14:paraId="73D91354" w14:textId="6F465E41" w:rsidR="009F3034" w:rsidRPr="009F3034" w:rsidRDefault="009F3034" w:rsidP="009F3034">
      <w:pPr>
        <w:pStyle w:val="FootnoteText"/>
        <w:jc w:val="left"/>
        <w:rPr>
          <w:szCs w:val="18"/>
          <w:lang w:val="es-ES"/>
        </w:rPr>
      </w:pPr>
      <w:r w:rsidRPr="009F3034">
        <w:rPr>
          <w:rStyle w:val="FootnoteReference"/>
          <w:szCs w:val="18"/>
        </w:rPr>
        <w:footnoteRef/>
      </w:r>
      <w:r w:rsidRPr="009F3034">
        <w:rPr>
          <w:szCs w:val="18"/>
          <w:lang w:val="es-ES"/>
        </w:rPr>
        <w:t xml:space="preserve"> </w:t>
      </w:r>
      <w:r w:rsidRPr="009F3034">
        <w:rPr>
          <w:szCs w:val="18"/>
        </w:rPr>
        <w:fldChar w:fldCharType="begin"/>
      </w:r>
      <w:r w:rsidRPr="009F3034">
        <w:rPr>
          <w:szCs w:val="18"/>
          <w:lang w:val="es-ES"/>
        </w:rPr>
        <w:instrText xml:space="preserve"> ADDIN ZOTERO_ITEM CSL_CITATION {"citationID":"GO7BSmzp","properties":{"formattedCitation":"Migration Department, \\uc0\\u8220{}Migration Yearbook (Migracijos Metra\\uc0\\u353{}tis),\\uc0\\u8221{} 2015.","plainCitation":"Migration Department, “Migration Yearbook (Migracijos Metraštis),” 2015.","noteIndex":145},"citationItems":[{"id":1318,"uris":["http://zotero.org/users/1614103/items/RMLHEJZS"],"uri":["http://zotero.org/users/1614103/items/RMLHEJZS"],"itemData":{"id":1318,"type":"report","title":"Migration Yearbook (Migracijos metraštis)","publisher-place":"Vilnius","event-place":"Vilnius","URL":"http://www.migracija.lt/index.php?-1704151938","language":"EN","author":[{"family":"Migration Department","given":""}],"issued":{"date-parts":[["2015"]]},"accessed":{"date-parts":[["2018",3,5]]}}}],"schema":"https://github.com/citation-style-language/schema/raw/master/csl-citation.json"} </w:instrText>
      </w:r>
      <w:r w:rsidRPr="009F3034">
        <w:rPr>
          <w:szCs w:val="18"/>
        </w:rPr>
        <w:fldChar w:fldCharType="separate"/>
      </w:r>
      <w:r w:rsidRPr="009F3034">
        <w:rPr>
          <w:szCs w:val="18"/>
          <w:lang w:val="es-ES"/>
        </w:rPr>
        <w:t>Migration Department, “Migration Yearbook (Migracijos Metraštis),” 2015.</w:t>
      </w:r>
      <w:r w:rsidRPr="009F3034">
        <w:rPr>
          <w:szCs w:val="18"/>
        </w:rPr>
        <w:fldChar w:fldCharType="end"/>
      </w:r>
    </w:p>
  </w:footnote>
  <w:footnote w:id="145">
    <w:p w14:paraId="2B78F75C" w14:textId="1644184F" w:rsidR="009F3034" w:rsidRPr="009F3034" w:rsidRDefault="009F3034" w:rsidP="009F3034">
      <w:pPr>
        <w:pStyle w:val="FootnoteText"/>
        <w:jc w:val="left"/>
        <w:rPr>
          <w:szCs w:val="18"/>
          <w:lang w:val="es-ES"/>
        </w:rPr>
      </w:pPr>
      <w:r w:rsidRPr="009F3034">
        <w:rPr>
          <w:rStyle w:val="FootnoteReference"/>
          <w:szCs w:val="18"/>
        </w:rPr>
        <w:footnoteRef/>
      </w:r>
      <w:r w:rsidRPr="009F3034">
        <w:rPr>
          <w:szCs w:val="18"/>
          <w:lang w:val="es-ES"/>
        </w:rPr>
        <w:t xml:space="preserve"> </w:t>
      </w:r>
      <w:r w:rsidRPr="009F3034">
        <w:rPr>
          <w:szCs w:val="18"/>
        </w:rPr>
        <w:fldChar w:fldCharType="begin"/>
      </w:r>
      <w:r w:rsidRPr="009F3034">
        <w:rPr>
          <w:szCs w:val="18"/>
          <w:lang w:val="es-ES"/>
        </w:rPr>
        <w:instrText xml:space="preserve"> ADDIN ZOTERO_ITEM CSL_CITATION {"citationID":"GO7BSmzp","properties":{"formattedCitation":"Migration Department, \\uc0\\u8220{}Migration Yearbook (Migracijos Metra\\uc0\\u353{}tis),\\uc0\\u8221{} 2015.","plainCitation":"Migration Department, “Migration Yearbook (Migracijos Metraštis),” 2015.","noteIndex":145},"citationItems":[{"id":1318,"uris":["http://zotero.org/users/1614103/items/RMLHEJZS"],"uri":["http://zotero.org/users/1614103/items/RMLHEJZS"],"itemData":{"id":1318,"type":"report","title":"Migration Yearbook (Migracijos metraštis)","publisher-place":"Vilnius","event-place":"Vilnius","URL":"http://www.migracija.lt/index.php?-1704151938","language":"EN","author":[{"family":"Migration Department","given":""}],"issued":{"date-parts":[["2015"]]},"accessed":{"date-parts":[["2018",3,5]]}}}],"schema":"https://github.com/citation-style-language/schema/raw/master/csl-citation.json"} </w:instrText>
      </w:r>
      <w:r w:rsidRPr="009F3034">
        <w:rPr>
          <w:szCs w:val="18"/>
        </w:rPr>
        <w:fldChar w:fldCharType="separate"/>
      </w:r>
      <w:r w:rsidRPr="009F3034">
        <w:rPr>
          <w:szCs w:val="18"/>
          <w:lang w:val="es-ES"/>
        </w:rPr>
        <w:t>Migration Department, “Migration Yearbook (Migracijos Metraštis),” (Vilnius, 2017), fig. 7.4, http://www.migracija.lt/index.php?683399458.</w:t>
      </w:r>
      <w:r w:rsidRPr="009F3034">
        <w:rPr>
          <w:szCs w:val="18"/>
        </w:rPr>
        <w:fldChar w:fldCharType="end"/>
      </w:r>
    </w:p>
  </w:footnote>
  <w:footnote w:id="146">
    <w:p w14:paraId="2E8459AE" w14:textId="07CC38C8" w:rsidR="009F3034" w:rsidRPr="009F3034" w:rsidRDefault="009F3034" w:rsidP="009F3034">
      <w:pPr>
        <w:pStyle w:val="FootnoteText"/>
        <w:jc w:val="left"/>
        <w:rPr>
          <w:szCs w:val="18"/>
          <w:lang w:val="es-ES"/>
        </w:rPr>
      </w:pPr>
      <w:r w:rsidRPr="009F3034">
        <w:rPr>
          <w:rStyle w:val="FootnoteReference"/>
          <w:szCs w:val="18"/>
        </w:rPr>
        <w:footnoteRef/>
      </w:r>
      <w:r w:rsidRPr="009F3034">
        <w:rPr>
          <w:szCs w:val="18"/>
          <w:lang w:val="es-ES"/>
        </w:rPr>
        <w:t xml:space="preserve"> </w:t>
      </w:r>
      <w:r w:rsidRPr="009F3034">
        <w:rPr>
          <w:szCs w:val="18"/>
        </w:rPr>
        <w:fldChar w:fldCharType="begin"/>
      </w:r>
      <w:r w:rsidRPr="009F3034">
        <w:rPr>
          <w:szCs w:val="18"/>
          <w:lang w:val="es-ES"/>
        </w:rPr>
        <w:instrText xml:space="preserve"> ADDIN ZOTERO_ITEM CSL_CITATION {"citationID":"ZCbGSqb9","properties":{"formattedCitation":"Migration Department, \\uc0\\u8220{}Migration Yearbook (Migracijos metra\\uc0\\u353{}tis)\\uc0\\u8221{} (Vilnius, 2016), fig. 7.2, http://www.migracija.lt/index.php?-1704151938.","plainCitation":"Migration Department, “Migration Yearbook (Migracijos metraštis)” (Vilnius, 2016), fig. 7.2, http://www.migracija.lt/index.php?-1704151938.","noteIndex":146},"citationItems":[{"id":1317,"uris":["http://zotero.org/users/1614103/items/6ZGHUZ5F"],"uri":["http://zotero.org/users/1614103/items/6ZGHUZ5F"],"itemData":{"id":1317,"type":"report","title":"Migration Yearbook (Migracijos metraštis)","publisher-place":"Vilnius","event-place":"Vilnius","URL":"http://www.migracija.lt/index.php?-1704151938","language":"LT","author":[{"family":"Migration Department","given":""}],"issued":{"date-parts":[["2016"]]},"accessed":{"date-parts":[["2018",3,5]]}},"locator":"7.2","label":"figure"}],"schema":"https://github.com/citation-style-language/schema/raw/master/csl-citation.json"} </w:instrText>
      </w:r>
      <w:r w:rsidRPr="009F3034">
        <w:rPr>
          <w:szCs w:val="18"/>
        </w:rPr>
        <w:fldChar w:fldCharType="separate"/>
      </w:r>
      <w:r w:rsidRPr="009F3034">
        <w:rPr>
          <w:szCs w:val="18"/>
          <w:lang w:val="es-ES"/>
        </w:rPr>
        <w:t>Migration Department, “Migration Yearbook (Migracijos metraštis)” (Vilnius, 2016), fig. 7.2, http://www.migracija.lt/index.php?-1704151938.</w:t>
      </w:r>
      <w:r w:rsidRPr="009F3034">
        <w:rPr>
          <w:szCs w:val="18"/>
        </w:rPr>
        <w:fldChar w:fldCharType="end"/>
      </w:r>
    </w:p>
  </w:footnote>
  <w:footnote w:id="147">
    <w:p w14:paraId="2671463F" w14:textId="32B90007" w:rsidR="009F3034" w:rsidRPr="009F3034" w:rsidRDefault="009F3034" w:rsidP="009F3034">
      <w:pPr>
        <w:pStyle w:val="FootnoteText"/>
        <w:jc w:val="left"/>
        <w:rPr>
          <w:szCs w:val="18"/>
          <w:lang w:val="es-ES"/>
        </w:rPr>
      </w:pPr>
      <w:r w:rsidRPr="009F3034">
        <w:rPr>
          <w:rStyle w:val="FootnoteReference"/>
          <w:szCs w:val="18"/>
        </w:rPr>
        <w:footnoteRef/>
      </w:r>
      <w:r w:rsidRPr="009F3034">
        <w:rPr>
          <w:szCs w:val="18"/>
          <w:lang w:val="es-ES"/>
        </w:rPr>
        <w:t xml:space="preserve"> </w:t>
      </w:r>
      <w:r w:rsidRPr="009F3034">
        <w:rPr>
          <w:szCs w:val="18"/>
        </w:rPr>
        <w:fldChar w:fldCharType="begin"/>
      </w:r>
      <w:r w:rsidRPr="009F3034">
        <w:rPr>
          <w:szCs w:val="18"/>
          <w:lang w:val="es-ES"/>
        </w:rPr>
        <w:instrText xml:space="preserve"> ADDIN ZOTERO_ITEM CSL_CITATION {"citationID":"IUXHzlNo","properties":{"formattedCitation":"Migration Department, fig. 7.4.","plainCitation":"Migration Department, fig. 7.4.","noteIndex":147},"citationItems":[{"id":1317,"uris":["http://zotero.org/users/1614103/items/6ZGHUZ5F"],"uri":["http://zotero.org/users/1614103/items/6ZGHUZ5F"],"itemData":{"id":1317,"type":"report","title":"Migration Yearbook (Migracijos metraštis)","publisher-place":"Vilnius","event-place":"Vilnius","URL":"http://www.migracija.lt/index.php?-1704151938","language":"LT","author":[{"family":"Migration Department","given":""}],"issued":{"date-parts":[["2016"]]},"accessed":{"date-parts":[["2018",3,5]]}},"locator":"7.4","label":"figure"}],"schema":"https://github.com/citation-style-language/schema/raw/master/csl-citation.json"} </w:instrText>
      </w:r>
      <w:r w:rsidRPr="009F3034">
        <w:rPr>
          <w:szCs w:val="18"/>
        </w:rPr>
        <w:fldChar w:fldCharType="separate"/>
      </w:r>
      <w:r w:rsidRPr="009F3034">
        <w:rPr>
          <w:szCs w:val="18"/>
          <w:lang w:val="es-ES"/>
        </w:rPr>
        <w:t>Migration Department, fig. 7.4.</w:t>
      </w:r>
      <w:r w:rsidRPr="009F3034">
        <w:rPr>
          <w:szCs w:val="18"/>
        </w:rPr>
        <w:fldChar w:fldCharType="end"/>
      </w:r>
    </w:p>
  </w:footnote>
  <w:footnote w:id="148">
    <w:p w14:paraId="64DD91B0" w14:textId="45EB1BF2" w:rsidR="009F3034" w:rsidRPr="009F3034" w:rsidRDefault="009F3034" w:rsidP="009F3034">
      <w:pPr>
        <w:pStyle w:val="FootnoteText"/>
        <w:jc w:val="left"/>
        <w:rPr>
          <w:szCs w:val="18"/>
          <w:lang w:val="es-ES"/>
        </w:rPr>
      </w:pPr>
      <w:r w:rsidRPr="009F3034">
        <w:rPr>
          <w:rStyle w:val="FootnoteReference"/>
          <w:szCs w:val="18"/>
        </w:rPr>
        <w:footnoteRef/>
      </w:r>
      <w:r w:rsidRPr="009F3034">
        <w:rPr>
          <w:szCs w:val="18"/>
          <w:lang w:val="es-ES"/>
        </w:rPr>
        <w:t xml:space="preserve"> </w:t>
      </w:r>
      <w:r w:rsidRPr="009F3034">
        <w:rPr>
          <w:szCs w:val="18"/>
        </w:rPr>
        <w:fldChar w:fldCharType="begin"/>
      </w:r>
      <w:r w:rsidRPr="009F3034">
        <w:rPr>
          <w:szCs w:val="18"/>
          <w:lang w:val="es-ES"/>
        </w:rPr>
        <w:instrText xml:space="preserve"> ADDIN ZOTERO_ITEM CSL_CITATION {"citationID":"gmPx3Og3","properties":{"formattedCitation":"Migration Department, \\uc0\\u8220{}Migration Yearbook (Migracijos metra\\uc0\\u353{}tis).\\uc0\\u8221{}","plainCitation":"Migration Department, “Migration Yearbook (Migracijos metraštis).”","noteIndex":148},"citationItems":[{"id":1317,"uris":["http://zotero.org/users/1614103/items/6ZGHUZ5F"],"uri":["http://zotero.org/users/1614103/items/6ZGHUZ5F"],"itemData":{"id":1317,"type":"report","title":"Migration Yearbook (Migracijos metraštis)","publisher-place":"Vilnius","event-place":"Vilnius","URL":"http://www.migracija.lt/index.php?-1704151938","language":"LT","author":[{"family":"Migration Department","given":""}],"issued":{"date-parts":[["2016"]]},"accessed":{"date-parts":[["2018",3,5]]}}}],"schema":"https://github.com/citation-style-language/schema/raw/master/csl-citation.json"} </w:instrText>
      </w:r>
      <w:r w:rsidRPr="009F3034">
        <w:rPr>
          <w:szCs w:val="18"/>
        </w:rPr>
        <w:fldChar w:fldCharType="separate"/>
      </w:r>
      <w:r w:rsidRPr="009F3034">
        <w:rPr>
          <w:szCs w:val="18"/>
          <w:lang w:val="es-ES"/>
        </w:rPr>
        <w:t>Migration Department, “Migration Yearbook (Migracijos metraštis).”</w:t>
      </w:r>
      <w:r w:rsidRPr="009F3034">
        <w:rPr>
          <w:szCs w:val="18"/>
        </w:rPr>
        <w:fldChar w:fldCharType="end"/>
      </w:r>
    </w:p>
  </w:footnote>
  <w:footnote w:id="149">
    <w:p w14:paraId="5D28DF07" w14:textId="5F2B8881"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w:t>
      </w:r>
      <w:r w:rsidRPr="009F3034">
        <w:rPr>
          <w:szCs w:val="18"/>
        </w:rPr>
        <w:fldChar w:fldCharType="begin"/>
      </w:r>
      <w:r w:rsidRPr="009F3034">
        <w:rPr>
          <w:szCs w:val="18"/>
          <w:lang w:val="en-US"/>
        </w:rPr>
        <w:instrText xml:space="preserve"> ADDIN ZOTERO_ITEM CSL_CITATION {"citationID":"GO7BSmzp","properties":{"formattedCitation":"Migration Department, \\uc0\\u8220{}Migration Yearbook (Migracijos Metra\\uc0\\u353{}tis),\\uc0\\u8221{} 2015.","plainCitation":"Migration Department, “Migration Yearbook (Migracijos Metraštis),” 2015.","noteIndex":145},"citationItems":[{"id":1318,"uris":["http://zotero.org/users/1614103/items/RMLHEJZS"],"uri":["http://zotero.org/users/1614103/items/RMLHEJZS"],"itemData":{"id":1318,"type":"report","title":"Migration Yearbook (Migracijos metraštis)","publisher-place":"Vilnius","event-place":"Vilnius","URL":"http://www.migracija.lt/index.php?-1704151938","language":"EN","author":[{"family":"Migration Department","given":""}],"issued":{"date-parts":[["2015"]]},"accessed":{"date-parts":[["2018",3,5]]}}}],"schema":"https://github.com/citation-style-language/schema/raw/master/csl-citation.json"} </w:instrText>
      </w:r>
      <w:r w:rsidRPr="009F3034">
        <w:rPr>
          <w:szCs w:val="18"/>
        </w:rPr>
        <w:fldChar w:fldCharType="separate"/>
      </w:r>
      <w:r w:rsidRPr="009F3034">
        <w:rPr>
          <w:szCs w:val="18"/>
          <w:lang w:val="en-US"/>
        </w:rPr>
        <w:t>Migration Yearbooks 2012-2017, figs. 7.5.</w:t>
      </w:r>
      <w:r w:rsidRPr="009F3034">
        <w:rPr>
          <w:szCs w:val="18"/>
        </w:rPr>
        <w:fldChar w:fldCharType="end"/>
      </w:r>
    </w:p>
  </w:footnote>
  <w:footnote w:id="150">
    <w:p w14:paraId="2140BADB" w14:textId="77777777" w:rsidR="009F3034" w:rsidRPr="009F3034" w:rsidRDefault="009F3034" w:rsidP="009F3034">
      <w:pPr>
        <w:pStyle w:val="FootnoteText"/>
        <w:jc w:val="left"/>
        <w:rPr>
          <w:szCs w:val="18"/>
          <w:lang w:val="en-US"/>
        </w:rPr>
      </w:pPr>
      <w:r w:rsidRPr="009F3034">
        <w:rPr>
          <w:rStyle w:val="FootnoteReference"/>
          <w:szCs w:val="18"/>
        </w:rPr>
        <w:footnoteRef/>
      </w:r>
      <w:r w:rsidRPr="009F3034">
        <w:rPr>
          <w:szCs w:val="18"/>
          <w:lang w:val="en-US"/>
        </w:rPr>
        <w:t xml:space="preserve"> Article </w:t>
      </w:r>
      <w:r w:rsidRPr="009F3034">
        <w:rPr>
          <w:szCs w:val="18"/>
          <w:lang w:val="en-US" w:eastAsia="lt-LT"/>
        </w:rPr>
        <w:t xml:space="preserve">40.6 </w:t>
      </w:r>
      <w:r w:rsidRPr="009F3034">
        <w:rPr>
          <w:szCs w:val="18"/>
          <w:lang w:val="en-US"/>
        </w:rPr>
        <w:t>LLSA.</w:t>
      </w:r>
    </w:p>
  </w:footnote>
  <w:footnote w:id="151">
    <w:p w14:paraId="4B4D347B" w14:textId="77777777" w:rsidR="009F3034" w:rsidRPr="009F3034" w:rsidRDefault="009F3034" w:rsidP="009F3034">
      <w:pPr>
        <w:pStyle w:val="FootnoteText"/>
        <w:jc w:val="left"/>
        <w:rPr>
          <w:szCs w:val="18"/>
          <w:lang w:val="en-US"/>
        </w:rPr>
      </w:pPr>
      <w:r w:rsidRPr="009F3034">
        <w:rPr>
          <w:rStyle w:val="FootnoteReference"/>
          <w:szCs w:val="18"/>
        </w:rPr>
        <w:footnoteRef/>
      </w:r>
      <w:r w:rsidRPr="009F3034">
        <w:rPr>
          <w:szCs w:val="18"/>
          <w:lang w:val="en-US"/>
        </w:rPr>
        <w:t xml:space="preserve"> Article </w:t>
      </w:r>
      <w:r w:rsidRPr="009F3034">
        <w:rPr>
          <w:szCs w:val="18"/>
          <w:lang w:val="en-US" w:eastAsia="lt-LT"/>
        </w:rPr>
        <w:t xml:space="preserve">43.6(6) </w:t>
      </w:r>
      <w:r w:rsidRPr="009F3034">
        <w:rPr>
          <w:szCs w:val="18"/>
          <w:lang w:val="en-US"/>
        </w:rPr>
        <w:t>LLSA.</w:t>
      </w:r>
    </w:p>
  </w:footnote>
  <w:footnote w:id="152">
    <w:p w14:paraId="6BE3331D"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The Law Amending the Law on Law Amending the Law on the Legal Status of Aliens (Lietuvos Respublikos įstatymo „Dėl užsieniečių teisinės padėties“ Nr. IX-2206 pakeitimo įstatymas), TAR No. 23714, 2016-23714, available at </w:t>
      </w:r>
      <w:hyperlink r:id="rId14" w:history="1">
        <w:r w:rsidRPr="009F3034">
          <w:rPr>
            <w:rStyle w:val="Hyperlink"/>
            <w:szCs w:val="18"/>
          </w:rPr>
          <w:t>https://www.e-tar.lt/portal/en/legalAct/b6327e007e7311e6b969d7ae07280e89</w:t>
        </w:r>
      </w:hyperlink>
      <w:r w:rsidRPr="009F3034">
        <w:rPr>
          <w:szCs w:val="18"/>
        </w:rPr>
        <w:t xml:space="preserve">. </w:t>
      </w:r>
    </w:p>
  </w:footnote>
  <w:footnote w:id="153">
    <w:p w14:paraId="062CD6FA" w14:textId="77777777" w:rsidR="009F3034" w:rsidRPr="009F3034" w:rsidRDefault="009F3034" w:rsidP="009F3034">
      <w:pPr>
        <w:pStyle w:val="FootnoteText"/>
        <w:jc w:val="left"/>
        <w:rPr>
          <w:szCs w:val="18"/>
          <w:lang w:val="lt-LT"/>
        </w:rPr>
      </w:pPr>
      <w:r w:rsidRPr="009F3034">
        <w:rPr>
          <w:rStyle w:val="FootnoteReference"/>
          <w:szCs w:val="18"/>
        </w:rPr>
        <w:footnoteRef/>
      </w:r>
      <w:r w:rsidRPr="009F3034">
        <w:rPr>
          <w:szCs w:val="18"/>
        </w:rPr>
        <w:t xml:space="preserve"> Information with the European Migration Network in Lithuania, 26 February 2018. See also </w:t>
      </w:r>
      <w:r w:rsidRPr="009F3034">
        <w:rPr>
          <w:szCs w:val="18"/>
        </w:rPr>
        <w:fldChar w:fldCharType="begin"/>
      </w:r>
      <w:r w:rsidRPr="009F3034">
        <w:rPr>
          <w:szCs w:val="18"/>
        </w:rPr>
        <w:instrText xml:space="preserve"> ADDIN ZOTERO_ITEM CSL_CITATION {"citationID":"iAse42gg","properties":{"formattedCitation":"Sipavi\\uc0\\u269{}ien\\uc0\\u279{}, Jer\\uc0\\u353{}ovas, and Stankevi\\uc0\\u269{}i\\uc0\\u363{}t\\uc0\\u279{}, \\uc0\\u8220{}Verslo Ir Investicij\\uc0\\u371{} Pritraukimas \\uc0\\u303{} Lietuv\\uc0\\u261{}: Migracijos Ir Migracijos Politikos Vaidmuo [Attracting Business and Investment into Lithuania: The Role of Migration and Migration Politics],\\uc0\\u8221{} 38.","plainCitation":"Sipavičienė, Jeršovas, and Stankevičiūtė, “Verslo Ir Investicijų Pritraukimas į Lietuvą: Migracijos Ir Migracijos Politikos Vaidmuo [Attracting Business and Investment into Lithuania: The Role of Migration and Migration Politics],” 38.","noteIndex":127},"citationItems":[{"id":1315,"uris":["http://zotero.org/users/1614103/items/Z7ASCALD"],"uri":["http://zotero.org/users/1614103/items/Z7ASCALD"],"itemData":{"id":1315,"type":"report","title":"Verslo ir investicijų pritraukimas į Lietuvą: migracijos ir migracijos politikos vaidmuo [Attracting business and investment into Lithuania: the role of migration and migration politics]","publisher":"European Migration Network, IOM Vilnius Office","URL":"http://emn.lt/wp-content/uploads/2015/10/Verslo-ir-investicij%C5%B3-pritraukimas-%C4%AF-Lietuv%C4%85.pdf","author":[{"family":"Sipavičienė","given":"Audra"},{"family":"Jeršovas","given":"Mantas"},{"family":"Stankevičiūtė","given":"Agnė"}],"issued":{"date-parts":[["2015"]]},"accessed":{"date-parts":[["2018",2,27]]}},"locator":"38"}],"schema":"https://github.com/citation-style-language/schema/raw/master/csl-citation.json"} </w:instrText>
      </w:r>
      <w:r w:rsidRPr="009F3034">
        <w:rPr>
          <w:szCs w:val="18"/>
        </w:rPr>
        <w:fldChar w:fldCharType="separate"/>
      </w:r>
      <w:r w:rsidRPr="009F3034">
        <w:rPr>
          <w:szCs w:val="18"/>
        </w:rPr>
        <w:t>Sipavičienė, Jeršovas, and Stankevičiūtė, “Verslo Ir Investicijų Pritraukimas į Lietuvą: Migracijos Ir Migracijos Politikos Vaidmuo [Attracting Business and Investment into Lithuania: The Role of Migration and Migration Politics],” 38.</w:t>
      </w:r>
      <w:r w:rsidRPr="009F3034">
        <w:rPr>
          <w:szCs w:val="18"/>
        </w:rPr>
        <w:fldChar w:fldCharType="end"/>
      </w:r>
    </w:p>
  </w:footnote>
  <w:footnote w:id="154">
    <w:p w14:paraId="013FD69E" w14:textId="77777777" w:rsidR="009F3034" w:rsidRPr="009F3034" w:rsidRDefault="009F3034" w:rsidP="009F3034">
      <w:pPr>
        <w:pStyle w:val="FootnoteText"/>
        <w:jc w:val="left"/>
        <w:rPr>
          <w:szCs w:val="18"/>
          <w:lang w:val="lt-LT"/>
        </w:rPr>
      </w:pPr>
      <w:r w:rsidRPr="009F3034">
        <w:rPr>
          <w:rStyle w:val="FootnoteReference"/>
          <w:szCs w:val="18"/>
        </w:rPr>
        <w:footnoteRef/>
      </w:r>
      <w:r w:rsidRPr="009F3034">
        <w:rPr>
          <w:szCs w:val="18"/>
          <w:lang w:val="lt-LT"/>
        </w:rPr>
        <w:t xml:space="preserve"> Article </w:t>
      </w:r>
      <w:r w:rsidRPr="009F3034">
        <w:rPr>
          <w:szCs w:val="18"/>
          <w:lang w:val="lt-LT" w:eastAsia="lt-LT"/>
        </w:rPr>
        <w:t xml:space="preserve">33.1(2)(e) </w:t>
      </w:r>
      <w:r w:rsidRPr="009F3034">
        <w:rPr>
          <w:szCs w:val="18"/>
          <w:lang w:val="lt-LT"/>
        </w:rPr>
        <w:t>LLSA</w:t>
      </w:r>
    </w:p>
  </w:footnote>
  <w:footnote w:id="155">
    <w:p w14:paraId="09191BCE" w14:textId="77777777" w:rsidR="009F3034" w:rsidRPr="009F3034" w:rsidRDefault="009F3034" w:rsidP="009F3034">
      <w:pPr>
        <w:pStyle w:val="FootnoteText"/>
        <w:jc w:val="left"/>
        <w:rPr>
          <w:szCs w:val="18"/>
          <w:lang w:val="lt-LT"/>
        </w:rPr>
      </w:pPr>
      <w:r w:rsidRPr="009F3034">
        <w:rPr>
          <w:rStyle w:val="FootnoteReference"/>
          <w:szCs w:val="18"/>
        </w:rPr>
        <w:footnoteRef/>
      </w:r>
      <w:r w:rsidRPr="009F3034">
        <w:rPr>
          <w:szCs w:val="18"/>
          <w:lang w:val="lt-LT"/>
        </w:rPr>
        <w:t xml:space="preserve"> Article </w:t>
      </w:r>
      <w:r w:rsidRPr="009F3034">
        <w:rPr>
          <w:szCs w:val="18"/>
          <w:lang w:val="lt-LT" w:eastAsia="lt-LT"/>
        </w:rPr>
        <w:t xml:space="preserve">40.6 </w:t>
      </w:r>
      <w:r w:rsidRPr="009F3034">
        <w:rPr>
          <w:szCs w:val="18"/>
          <w:lang w:val="lt-LT"/>
        </w:rPr>
        <w:t>LLSA.</w:t>
      </w:r>
    </w:p>
  </w:footnote>
  <w:footnote w:id="156">
    <w:p w14:paraId="234C6E5A" w14:textId="77777777" w:rsidR="009F3034" w:rsidRPr="009F3034" w:rsidRDefault="009F3034" w:rsidP="009F3034">
      <w:pPr>
        <w:pStyle w:val="FootnoteText"/>
        <w:jc w:val="left"/>
        <w:rPr>
          <w:szCs w:val="18"/>
          <w:lang w:val="lt-LT"/>
        </w:rPr>
      </w:pPr>
      <w:r w:rsidRPr="009F3034">
        <w:rPr>
          <w:rStyle w:val="FootnoteReference"/>
          <w:szCs w:val="18"/>
        </w:rPr>
        <w:footnoteRef/>
      </w:r>
      <w:r w:rsidRPr="009F3034">
        <w:rPr>
          <w:szCs w:val="18"/>
          <w:lang w:val="lt-LT"/>
        </w:rPr>
        <w:t xml:space="preserve"> Article </w:t>
      </w:r>
      <w:r w:rsidRPr="009F3034">
        <w:rPr>
          <w:szCs w:val="18"/>
          <w:lang w:val="lt-LT" w:eastAsia="lt-LT"/>
        </w:rPr>
        <w:t xml:space="preserve">50.3 </w:t>
      </w:r>
      <w:r w:rsidRPr="009F3034">
        <w:rPr>
          <w:szCs w:val="18"/>
          <w:lang w:val="lt-LT"/>
        </w:rPr>
        <w:t>LLSA.</w:t>
      </w:r>
    </w:p>
  </w:footnote>
  <w:footnote w:id="157">
    <w:p w14:paraId="463240BC" w14:textId="77777777" w:rsidR="009F3034" w:rsidRPr="009F3034" w:rsidRDefault="009F3034" w:rsidP="009F3034">
      <w:pPr>
        <w:pStyle w:val="FootnoteText"/>
        <w:jc w:val="left"/>
        <w:rPr>
          <w:szCs w:val="18"/>
          <w:lang w:val="lt-LT"/>
        </w:rPr>
      </w:pPr>
      <w:r w:rsidRPr="009F3034">
        <w:rPr>
          <w:rStyle w:val="FootnoteReference"/>
          <w:szCs w:val="18"/>
        </w:rPr>
        <w:footnoteRef/>
      </w:r>
      <w:r w:rsidRPr="009F3034">
        <w:rPr>
          <w:szCs w:val="18"/>
          <w:lang w:val="lt-LT"/>
        </w:rPr>
        <w:t xml:space="preserve"> Article 43.6(6) LLSA.</w:t>
      </w:r>
    </w:p>
  </w:footnote>
  <w:footnote w:id="158">
    <w:p w14:paraId="10EA39D0" w14:textId="77777777" w:rsidR="009F3034" w:rsidRPr="009F3034" w:rsidRDefault="009F3034" w:rsidP="009F3034">
      <w:pPr>
        <w:pStyle w:val="FootnoteText"/>
        <w:jc w:val="left"/>
        <w:rPr>
          <w:szCs w:val="18"/>
          <w:lang w:val="lt-LT"/>
        </w:rPr>
      </w:pPr>
      <w:r w:rsidRPr="009F3034">
        <w:rPr>
          <w:rStyle w:val="FootnoteReference"/>
          <w:szCs w:val="18"/>
        </w:rPr>
        <w:footnoteRef/>
      </w:r>
      <w:r w:rsidRPr="009F3034">
        <w:rPr>
          <w:szCs w:val="18"/>
          <w:lang w:val="lt-LT"/>
        </w:rPr>
        <w:t xml:space="preserve"> Information with the Migration Department; competent authority on migration issues; 28 February 2018</w:t>
      </w:r>
    </w:p>
  </w:footnote>
  <w:footnote w:id="159">
    <w:p w14:paraId="04B8A3B4" w14:textId="77777777" w:rsidR="009F3034" w:rsidRPr="009F3034" w:rsidRDefault="009F3034" w:rsidP="009F3034">
      <w:pPr>
        <w:pStyle w:val="FootnoteText"/>
        <w:jc w:val="left"/>
        <w:rPr>
          <w:szCs w:val="18"/>
          <w:lang w:val="en-US"/>
        </w:rPr>
      </w:pPr>
      <w:r w:rsidRPr="009F3034">
        <w:rPr>
          <w:rStyle w:val="FootnoteReference"/>
          <w:szCs w:val="18"/>
        </w:rPr>
        <w:footnoteRef/>
      </w:r>
      <w:r w:rsidRPr="009F3034">
        <w:rPr>
          <w:szCs w:val="18"/>
        </w:rPr>
        <w:t xml:space="preserve"> For the purposes of this Table, the term ‘investment’ covers any pecuniary disbursement required as part of the process for obtaining residence under the investors’ residence scheme.</w:t>
      </w:r>
    </w:p>
  </w:footnote>
  <w:footnote w:id="160">
    <w:p w14:paraId="3A6CDA47"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Articles 17.5 and 24.21 TRP Rules.</w:t>
      </w:r>
    </w:p>
  </w:footnote>
  <w:footnote w:id="161">
    <w:p w14:paraId="7CFE9DDF"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45.5 LLSA.</w:t>
      </w:r>
    </w:p>
  </w:footnote>
  <w:footnote w:id="162">
    <w:p w14:paraId="4EFB6A2C"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Articles 100-100.12 TRP Rules.</w:t>
      </w:r>
    </w:p>
  </w:footnote>
  <w:footnote w:id="163">
    <w:p w14:paraId="1E25050F"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188 TRP Rules.</w:t>
      </w:r>
    </w:p>
  </w:footnote>
  <w:footnote w:id="164">
    <w:p w14:paraId="0D3FD995" w14:textId="3439E1B1"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w:t>
      </w:r>
      <w:r w:rsidRPr="009F3034">
        <w:rPr>
          <w:szCs w:val="18"/>
        </w:rPr>
        <w:fldChar w:fldCharType="begin"/>
      </w:r>
      <w:r w:rsidRPr="009F3034">
        <w:rPr>
          <w:szCs w:val="18"/>
        </w:rPr>
        <w:instrText xml:space="preserve"> ADDIN ZOTERO_ITEM CSL_CITATION {"citationID":"TxhQH9zG","properties":{"formattedCitation":"\\uc0\\u8220{}Migration Department - Migration Offices,\\uc0\\u8221{} accessed March 7, 2018, http://www.migracija.lt/index.php?823486922.","plainCitation":"“Migration Department - Migration Offices,” accessed March 7, 2018, http://www.migracija.lt/index.php?823486922.","noteIndex":163},"citationItems":[{"id":1328,"uris":["http://zotero.org/users/1614103/items/IAW4U75U"],"uri":["http://zotero.org/users/1614103/items/IAW4U75U"],"itemData":{"id":1328,"type":"webpage","title":"Migration Department - Migration offices","URL":"http://www.migracija.lt/index.php?823486922","accessed":{"date-parts":[["2018",3,7]]}}}],"schema":"https://github.com/citation-style-language/schema/raw/master/csl-citation.json"} </w:instrText>
      </w:r>
      <w:r w:rsidRPr="009F3034">
        <w:rPr>
          <w:szCs w:val="18"/>
        </w:rPr>
        <w:fldChar w:fldCharType="separate"/>
      </w:r>
      <w:r w:rsidRPr="009F3034">
        <w:rPr>
          <w:szCs w:val="18"/>
        </w:rPr>
        <w:t>“Migration Department - Migration Offices,” accessed March 7, 2018, http://www.migracija.lt/index.php?823486922.</w:t>
      </w:r>
      <w:r w:rsidRPr="009F3034">
        <w:rPr>
          <w:szCs w:val="18"/>
        </w:rPr>
        <w:fldChar w:fldCharType="end"/>
      </w:r>
    </w:p>
  </w:footnote>
  <w:footnote w:id="165">
    <w:p w14:paraId="658AE764" w14:textId="040E956A"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w:t>
      </w:r>
      <w:r w:rsidRPr="009F3034">
        <w:rPr>
          <w:szCs w:val="18"/>
        </w:rPr>
        <w:fldChar w:fldCharType="begin"/>
      </w:r>
      <w:r w:rsidRPr="009F3034">
        <w:rPr>
          <w:szCs w:val="18"/>
        </w:rPr>
        <w:instrText xml:space="preserve"> ADDIN ZOTERO_ITEM CSL_CITATION {"citationID":"Sv4BzZfb","properties":{"formattedCitation":"\\uc0\\u8220{}Migration Department - Pre-Registration on Temporary Residence Permits and Citizenship of the Republic of Lithuania Matters,\\uc0\\u8221{} accessed March 15, 2018, http://www.migracija.lt/index.php?630693534.","plainCitation":"“Migration Department - Pre-Registration on Temporary Residence Permits and Citizenship of the Republic of Lithuania Matters,” accessed March 15, 2018, http://www.migracija.lt/index.php?630693534.","noteIndex":164},"citationItems":[{"id":1358,"uris":["http://zotero.org/users/1614103/items/KRHWNVPU"],"uri":["http://zotero.org/users/1614103/items/KRHWNVPU"],"itemData":{"id":1358,"type":"webpage","title":"Migration Department - Pre-registration on Temporary Residence Permits and citizenship of the Republic of Lithuania matters","URL":"http://www.migracija.lt/index.php?630693534","accessed":{"date-parts":[["2018",3,15]]}}}],"schema":"https://github.com/citation-style-language/schema/raw/master/csl-citation.json"} </w:instrText>
      </w:r>
      <w:r w:rsidRPr="009F3034">
        <w:rPr>
          <w:szCs w:val="18"/>
        </w:rPr>
        <w:fldChar w:fldCharType="separate"/>
      </w:r>
      <w:r w:rsidRPr="009F3034">
        <w:rPr>
          <w:szCs w:val="18"/>
        </w:rPr>
        <w:t>“Migration Department - Pre-Registration on Temporary Residence Permits and Citizenship of the Republic of Lithuania Matters,” accessed March 15, 2018, http://www.migracija.lt/index.php?630693534.</w:t>
      </w:r>
      <w:r w:rsidRPr="009F3034">
        <w:rPr>
          <w:szCs w:val="18"/>
        </w:rPr>
        <w:fldChar w:fldCharType="end"/>
      </w:r>
    </w:p>
  </w:footnote>
  <w:footnote w:id="166">
    <w:p w14:paraId="1CDBE55C"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Articles 17.5 and 24.21</w:t>
      </w:r>
      <w:r w:rsidRPr="009F3034">
        <w:rPr>
          <w:szCs w:val="18"/>
          <w:vertAlign w:val="superscript"/>
        </w:rPr>
        <w:t>1</w:t>
      </w:r>
      <w:r w:rsidRPr="009F3034">
        <w:rPr>
          <w:szCs w:val="18"/>
        </w:rPr>
        <w:t xml:space="preserve"> TRP Rules.</w:t>
      </w:r>
    </w:p>
  </w:footnote>
  <w:footnote w:id="167">
    <w:p w14:paraId="3AFAC1D4"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45.5 LLSA.</w:t>
      </w:r>
    </w:p>
  </w:footnote>
  <w:footnote w:id="168">
    <w:p w14:paraId="40EABFD3"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Articles 100-100.12 TRP Rules.</w:t>
      </w:r>
    </w:p>
  </w:footnote>
  <w:footnote w:id="169">
    <w:p w14:paraId="08CDEB61"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188 TRP Rules.</w:t>
      </w:r>
    </w:p>
  </w:footnote>
  <w:footnote w:id="170">
    <w:p w14:paraId="5ECBA707"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Articles 45.1(1) and 45.2 LLSA; Articles 24.21 and 24.2</w:t>
      </w:r>
      <w:r w:rsidRPr="009F3034">
        <w:rPr>
          <w:szCs w:val="18"/>
          <w:vertAlign w:val="superscript"/>
        </w:rPr>
        <w:t>1</w:t>
      </w:r>
      <w:r w:rsidRPr="009F3034">
        <w:rPr>
          <w:szCs w:val="18"/>
        </w:rPr>
        <w:t xml:space="preserve"> TRP Rules</w:t>
      </w:r>
    </w:p>
  </w:footnote>
  <w:footnote w:id="171">
    <w:p w14:paraId="45D399A0"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17.7 TRP Rules.</w:t>
      </w:r>
    </w:p>
  </w:footnote>
  <w:footnote w:id="172">
    <w:p w14:paraId="61B9600C"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Articles 70, 70.1, </w:t>
      </w:r>
      <w:r w:rsidRPr="009F3034">
        <w:rPr>
          <w:color w:val="000000"/>
          <w:szCs w:val="18"/>
          <w:lang w:eastAsia="lt-LT"/>
        </w:rPr>
        <w:t>70.5.1, 70.5.2</w:t>
      </w:r>
      <w:r w:rsidRPr="009F3034">
        <w:rPr>
          <w:szCs w:val="18"/>
        </w:rPr>
        <w:t xml:space="preserve"> TRP Rules.</w:t>
      </w:r>
    </w:p>
  </w:footnote>
  <w:footnote w:id="173">
    <w:p w14:paraId="1FA68CCB"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Articles 17.7 and 33 TRP Rules.</w:t>
      </w:r>
    </w:p>
  </w:footnote>
  <w:footnote w:id="174">
    <w:p w14:paraId="537418D1"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44.7.1 TRP Rules.</w:t>
      </w:r>
    </w:p>
  </w:footnote>
  <w:footnote w:id="175">
    <w:p w14:paraId="27E8F84C"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Information with the Migration Department; competent authority on migration issues; 28 February 2018.</w:t>
      </w:r>
    </w:p>
  </w:footnote>
  <w:footnote w:id="176">
    <w:p w14:paraId="2F8A4471"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45.5 LLSA.</w:t>
      </w:r>
    </w:p>
  </w:footnote>
  <w:footnote w:id="177">
    <w:p w14:paraId="66706BCE"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Articles 100-100.12 TRP Rules.</w:t>
      </w:r>
    </w:p>
  </w:footnote>
  <w:footnote w:id="178">
    <w:p w14:paraId="01E4A5FE"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188 TRP Rules.</w:t>
      </w:r>
    </w:p>
  </w:footnote>
  <w:footnote w:id="179">
    <w:p w14:paraId="3BC0A0D2"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36 LLSA and Article 222 TRP Regulations.</w:t>
      </w:r>
    </w:p>
  </w:footnote>
  <w:footnote w:id="180">
    <w:p w14:paraId="67E65DD3"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w:t>
      </w:r>
      <w:r w:rsidRPr="009F3034">
        <w:rPr>
          <w:color w:val="000000"/>
          <w:szCs w:val="18"/>
        </w:rPr>
        <w:t xml:space="preserve">Article 9 of the Order of the Minister of the Interior ‘On the Regulations of the Migration Department at the Ministry of the Interior’ (“Dėl Migracijos departamento prie Vidaus reikalų ministerijos nuostatų patvirtinimo”), Valstybės žinios No. 86-2639, 1002310ISAK00000388, available at </w:t>
      </w:r>
      <w:hyperlink r:id="rId15" w:history="1">
        <w:r w:rsidRPr="009F3034">
          <w:rPr>
            <w:rStyle w:val="Hyperlink"/>
            <w:szCs w:val="18"/>
          </w:rPr>
          <w:t>https://www.e-tar.lt/portal/en/legalAct/TAR.AC68574D989E/YAEOHqXizC</w:t>
        </w:r>
      </w:hyperlink>
      <w:r w:rsidRPr="009F3034">
        <w:rPr>
          <w:szCs w:val="18"/>
        </w:rPr>
        <w:t>.</w:t>
      </w:r>
      <w:r w:rsidRPr="009F3034">
        <w:rPr>
          <w:color w:val="000000"/>
          <w:szCs w:val="18"/>
        </w:rPr>
        <w:t xml:space="preserve"> </w:t>
      </w:r>
    </w:p>
  </w:footnote>
  <w:footnote w:id="181">
    <w:p w14:paraId="0BAA47B7"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Information with the Migration Department; competent authority on migration issues; 28 February 2018.</w:t>
      </w:r>
    </w:p>
  </w:footnote>
  <w:footnote w:id="182">
    <w:p w14:paraId="1E8DE5B7"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21 </w:t>
      </w:r>
      <w:r w:rsidRPr="009F3034">
        <w:rPr>
          <w:color w:val="000000"/>
          <w:szCs w:val="18"/>
        </w:rPr>
        <w:t xml:space="preserve">of the Order of the Minister of the Interior ‘On the Regulations of the Migration Department at the Ministry of the Interior’ (“Dėl Migracijos departamento prie Vidaus reikalų ministerijos nuostatų patvirtinimo”), Valstybės žinios No. 86-2639, 1002310ISAK00000388, available at </w:t>
      </w:r>
      <w:hyperlink r:id="rId16" w:history="1">
        <w:r w:rsidRPr="009F3034">
          <w:rPr>
            <w:rStyle w:val="Hyperlink"/>
            <w:szCs w:val="18"/>
          </w:rPr>
          <w:t>https://www.e-tar.lt/portal/en/legalAct/TAR.AC68574D989E/YAEOHqXizC</w:t>
        </w:r>
      </w:hyperlink>
      <w:r w:rsidRPr="009F3034">
        <w:rPr>
          <w:szCs w:val="18"/>
        </w:rPr>
        <w:t>.</w:t>
      </w:r>
    </w:p>
  </w:footnote>
  <w:footnote w:id="183">
    <w:p w14:paraId="44B253BB" w14:textId="468A550D"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w:t>
      </w:r>
      <w:r w:rsidRPr="009F3034">
        <w:rPr>
          <w:szCs w:val="18"/>
        </w:rPr>
        <w:fldChar w:fldCharType="begin"/>
      </w:r>
      <w:r w:rsidRPr="009F3034">
        <w:rPr>
          <w:szCs w:val="18"/>
        </w:rPr>
        <w:instrText xml:space="preserve"> ADDIN ZOTERO_ITEM CSL_CITATION {"citationID":"SUMhiOzS","properties":{"formattedCitation":"National Audit Office of Lithuania, \\uc0\\u8220{}I\\uc0\\u353{}ankstinio Tyrimo Ataskaita: Immigracijos Proces\\uc0\\u371{} Valdymas [Preliminary Findings: Administration of Immigration Processes].\\uc0\\u8221{}","plainCitation":"National Audit Office of Lithuania, “Išankstinio Tyrimo Ataskaita: Immigracijos Procesų Valdymas [Preliminary Findings: Administration of Immigration Processes].”","noteIndex":182},"citationItems":[{"id":1326,"uris":["http://zotero.org/users/1614103/items/42S7A7EJ"],"uri":["http://zotero.org/users/1614103/items/42S7A7EJ"],"itemData":{"id":1326,"type":"report","title":"Išankstinio tyrimo ataskaita: Immigracijos procesų valdymas [Preliminary findings: Administration of Immigration processes]","publisher":"Valstybės Kontrolė","publisher-place":"Vilnius","event-place":"Vilnius","URL":"https://www.vkontrole.lt/failas.aspx?id=3327","author":[{"family":"National Audit Office of Lithuania","given":""}],"issued":{"date-parts":[["2015"]]},"accessed":{"date-parts":[["2018",3,5]]}}}],"schema":"https://github.com/citation-style-language/schema/raw/master/csl-citation.json"} </w:instrText>
      </w:r>
      <w:r w:rsidRPr="009F3034">
        <w:rPr>
          <w:szCs w:val="18"/>
        </w:rPr>
        <w:fldChar w:fldCharType="separate"/>
      </w:r>
      <w:r w:rsidRPr="009F3034">
        <w:rPr>
          <w:szCs w:val="18"/>
        </w:rPr>
        <w:t>National Audit Office of Lithuania, “Išankstinio Tyrimo Ataskaita: Immigracijos Procesų Valdymas [Preliminary Findings: Administration of Immigration Processes].”</w:t>
      </w:r>
      <w:r w:rsidRPr="009F3034">
        <w:rPr>
          <w:szCs w:val="18"/>
        </w:rPr>
        <w:fldChar w:fldCharType="end"/>
      </w:r>
    </w:p>
  </w:footnote>
  <w:footnote w:id="184">
    <w:p w14:paraId="0842F3E5" w14:textId="4980E9EB" w:rsidR="009F3034" w:rsidRPr="009F3034" w:rsidRDefault="009F3034" w:rsidP="009F3034">
      <w:pPr>
        <w:pStyle w:val="FootnoteText"/>
        <w:jc w:val="left"/>
        <w:rPr>
          <w:szCs w:val="18"/>
          <w:lang w:val="lt-LT"/>
        </w:rPr>
      </w:pPr>
      <w:r w:rsidRPr="009F3034">
        <w:rPr>
          <w:rStyle w:val="FootnoteReference"/>
          <w:szCs w:val="18"/>
        </w:rPr>
        <w:footnoteRef/>
      </w:r>
      <w:r w:rsidRPr="009F3034">
        <w:rPr>
          <w:szCs w:val="18"/>
        </w:rPr>
        <w:t xml:space="preserve"> </w:t>
      </w:r>
      <w:r w:rsidRPr="009F3034">
        <w:rPr>
          <w:szCs w:val="18"/>
        </w:rPr>
        <w:fldChar w:fldCharType="begin"/>
      </w:r>
      <w:r w:rsidRPr="009F3034">
        <w:rPr>
          <w:szCs w:val="18"/>
        </w:rPr>
        <w:instrText xml:space="preserve"> ADDIN ZOTERO_ITEM CSL_CITATION {"citationID":"dD6qPWwe","properties":{"formattedCitation":"Migration Department, \\uc0\\u8220{}Migracijos Departamentas - Business - The Owner, a Sharer of a Company.\\uc0\\u8221{}","plainCitation":"Migration Department, “Migracijos Departamentas - Business - The Owner, a Sharer of a Company.”","noteIndex":183},"citationItems":[{"id":1338,"uris":["http://zotero.org/users/1614103/items/U3JQ6LTT"],"uri":["http://zotero.org/users/1614103/items/U3JQ6LTT"],"itemData":{"id":1338,"type":"webpage","title":"Migracijos departamentas - Business - The owner, a sharer of a company","URL":"http://www.migracija.lt/index.php?-921144007","author":[{"family":"Migration Department","given":""}],"accessed":{"date-parts":[["2018",3,11]]}}}],"schema":"https://github.com/citation-style-language/schema/raw/master/csl-citation.json"} </w:instrText>
      </w:r>
      <w:r w:rsidRPr="009F3034">
        <w:rPr>
          <w:szCs w:val="18"/>
        </w:rPr>
        <w:fldChar w:fldCharType="separate"/>
      </w:r>
      <w:r w:rsidRPr="009F3034">
        <w:rPr>
          <w:szCs w:val="18"/>
        </w:rPr>
        <w:t>Migration Department, “Migracijos Departamentas - Business - The Owner, a Sharer of a Company.”</w:t>
      </w:r>
      <w:r w:rsidRPr="009F3034">
        <w:rPr>
          <w:szCs w:val="18"/>
        </w:rPr>
        <w:fldChar w:fldCharType="end"/>
      </w:r>
    </w:p>
  </w:footnote>
  <w:footnote w:id="185">
    <w:p w14:paraId="0B934C32" w14:textId="618F456A"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w:t>
      </w:r>
      <w:r w:rsidRPr="009F3034">
        <w:rPr>
          <w:szCs w:val="18"/>
        </w:rPr>
        <w:fldChar w:fldCharType="begin"/>
      </w:r>
      <w:r w:rsidRPr="009F3034">
        <w:rPr>
          <w:szCs w:val="18"/>
        </w:rPr>
        <w:instrText xml:space="preserve"> ADDIN ZOTERO_ITEM CSL_CITATION {"citationID":"X2YjtVRZ","properties":{"formattedCitation":"Migration Department, \\uc0\\u8220{}Migration Yearbook (Migracijos Metra\\uc0\\u353{}tis),\\uc0\\u8221{} 2015, 9.","plainCitation":"Migration Department, “Migration Yearbook (Migracijos Metraštis),” 2015, 9.","noteIndex":184},"citationItems":[{"id":1318,"uris":["http://zotero.org/users/1614103/items/RMLHEJZS"],"uri":["http://zotero.org/users/1614103/items/RMLHEJZS"],"itemData":{"id":1318,"type":"report","title":"Migration Yearbook (Migracijos metraštis)","publisher-place":"Vilnius","event-place":"Vilnius","URL":"http://www.migracija.lt/index.php?-1704151938","language":"EN","author":[{"family":"Migration Department","given":""}],"issued":{"date-parts":[["2015"]]},"accessed":{"date-parts":[["2018",3,5]]}},"locator":"9"}],"schema":"https://github.com/citation-style-language/schema/raw/master/csl-citation.json"} </w:instrText>
      </w:r>
      <w:r w:rsidRPr="009F3034">
        <w:rPr>
          <w:szCs w:val="18"/>
        </w:rPr>
        <w:fldChar w:fldCharType="separate"/>
      </w:r>
      <w:r w:rsidRPr="009F3034">
        <w:rPr>
          <w:szCs w:val="18"/>
        </w:rPr>
        <w:t>Migration Department, “Migration Yearbook (Migracijos Metraštis),” 2015, 9.</w:t>
      </w:r>
      <w:r w:rsidRPr="009F3034">
        <w:rPr>
          <w:szCs w:val="18"/>
        </w:rPr>
        <w:fldChar w:fldCharType="end"/>
      </w:r>
    </w:p>
  </w:footnote>
  <w:footnote w:id="186">
    <w:p w14:paraId="2CDECFE4"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Information with the Migration Department; competent authority on migration issues; 28 February 2018.</w:t>
      </w:r>
    </w:p>
  </w:footnote>
  <w:footnote w:id="187">
    <w:p w14:paraId="7ADA1A5E" w14:textId="77777777" w:rsidR="009F3034" w:rsidRPr="009F3034" w:rsidRDefault="009F3034" w:rsidP="009F3034">
      <w:pPr>
        <w:pStyle w:val="FootnoteText"/>
        <w:jc w:val="left"/>
        <w:rPr>
          <w:szCs w:val="18"/>
          <w:lang w:val="lt-LT"/>
        </w:rPr>
      </w:pPr>
      <w:r w:rsidRPr="009F3034">
        <w:rPr>
          <w:rStyle w:val="FootnoteReference"/>
          <w:szCs w:val="18"/>
        </w:rPr>
        <w:footnoteRef/>
      </w:r>
      <w:r w:rsidRPr="009F3034">
        <w:rPr>
          <w:szCs w:val="18"/>
        </w:rPr>
        <w:t xml:space="preserve"> </w:t>
      </w:r>
      <w:r w:rsidRPr="009F3034">
        <w:rPr>
          <w:szCs w:val="18"/>
          <w:lang w:val="lt-LT"/>
        </w:rPr>
        <w:t xml:space="preserve">Articles </w:t>
      </w:r>
      <w:r w:rsidRPr="009F3034">
        <w:rPr>
          <w:rFonts w:eastAsia="Calibri"/>
          <w:szCs w:val="18"/>
        </w:rPr>
        <w:t>17.9, 17.9.3, 17.9.4. TRP Rules.</w:t>
      </w:r>
    </w:p>
  </w:footnote>
  <w:footnote w:id="188">
    <w:p w14:paraId="1C327F5D"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Information with the Migration Department; competent authority on migration issues; 28 February 2018.</w:t>
      </w:r>
    </w:p>
  </w:footnote>
  <w:footnote w:id="189">
    <w:p w14:paraId="584CC5F6"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52.3 LLSA and Articles 208-210 TRP Rules.</w:t>
      </w:r>
    </w:p>
  </w:footnote>
  <w:footnote w:id="190">
    <w:p w14:paraId="14534A88"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w:t>
      </w:r>
      <w:r w:rsidRPr="009F3034">
        <w:rPr>
          <w:rFonts w:eastAsia="Calibri"/>
          <w:szCs w:val="18"/>
        </w:rPr>
        <w:t>17.9 TRP Rules.</w:t>
      </w:r>
    </w:p>
  </w:footnote>
  <w:footnote w:id="191">
    <w:p w14:paraId="5A5F06EA"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Articles </w:t>
      </w:r>
      <w:r w:rsidRPr="009F3034">
        <w:rPr>
          <w:color w:val="000000"/>
          <w:szCs w:val="18"/>
          <w:lang w:eastAsia="lt-LT"/>
        </w:rPr>
        <w:t>77</w:t>
      </w:r>
      <w:r w:rsidRPr="009F3034">
        <w:rPr>
          <w:color w:val="000000"/>
          <w:szCs w:val="18"/>
          <w:vertAlign w:val="superscript"/>
          <w:lang w:eastAsia="lt-LT"/>
        </w:rPr>
        <w:t xml:space="preserve">1 </w:t>
      </w:r>
      <w:r w:rsidRPr="009F3034">
        <w:rPr>
          <w:rFonts w:eastAsia="Calibri"/>
          <w:szCs w:val="18"/>
        </w:rPr>
        <w:t>and 78 TRP Rules.</w:t>
      </w:r>
    </w:p>
  </w:footnote>
  <w:footnote w:id="192">
    <w:p w14:paraId="4CD5419A"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45.5 LLSA.</w:t>
      </w:r>
    </w:p>
  </w:footnote>
  <w:footnote w:id="193">
    <w:p w14:paraId="2C428637"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Articles 100-100.12 TRP Rules.</w:t>
      </w:r>
    </w:p>
  </w:footnote>
  <w:footnote w:id="194">
    <w:p w14:paraId="3223C2EC"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Articles 78, 71.3.1, </w:t>
      </w:r>
      <w:r w:rsidRPr="009F3034">
        <w:rPr>
          <w:color w:val="000000"/>
          <w:szCs w:val="18"/>
          <w:lang w:eastAsia="lt-LT"/>
        </w:rPr>
        <w:t>71.3.3, 71.3.4, 71.3.5, 71.3.7</w:t>
      </w:r>
      <w:r w:rsidRPr="009F3034">
        <w:rPr>
          <w:szCs w:val="18"/>
        </w:rPr>
        <w:t xml:space="preserve"> TRP Rules.</w:t>
      </w:r>
    </w:p>
  </w:footnote>
  <w:footnote w:id="195">
    <w:p w14:paraId="20F9A969"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w:t>
      </w:r>
      <w:r w:rsidRPr="009F3034">
        <w:rPr>
          <w:rFonts w:eastAsia="Calibri"/>
          <w:szCs w:val="18"/>
        </w:rPr>
        <w:t xml:space="preserve">Articles </w:t>
      </w:r>
      <w:r w:rsidRPr="009F3034">
        <w:rPr>
          <w:color w:val="000000"/>
          <w:szCs w:val="18"/>
          <w:lang w:eastAsia="lt-LT"/>
        </w:rPr>
        <w:t>17.9 and 77</w:t>
      </w:r>
      <w:r w:rsidRPr="009F3034">
        <w:rPr>
          <w:color w:val="000000"/>
          <w:szCs w:val="18"/>
          <w:vertAlign w:val="superscript"/>
          <w:lang w:eastAsia="lt-LT"/>
        </w:rPr>
        <w:t xml:space="preserve">1 </w:t>
      </w:r>
      <w:r w:rsidRPr="009F3034">
        <w:rPr>
          <w:color w:val="000000"/>
          <w:szCs w:val="18"/>
          <w:lang w:eastAsia="lt-LT"/>
        </w:rPr>
        <w:t>TRP Rules.</w:t>
      </w:r>
    </w:p>
  </w:footnote>
  <w:footnote w:id="196">
    <w:p w14:paraId="24E4D42C"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Articles </w:t>
      </w:r>
      <w:r w:rsidRPr="009F3034">
        <w:rPr>
          <w:color w:val="000000"/>
          <w:szCs w:val="18"/>
          <w:lang w:eastAsia="lt-LT"/>
        </w:rPr>
        <w:t>77</w:t>
      </w:r>
      <w:r w:rsidRPr="009F3034">
        <w:rPr>
          <w:color w:val="000000"/>
          <w:szCs w:val="18"/>
          <w:vertAlign w:val="superscript"/>
          <w:lang w:eastAsia="lt-LT"/>
        </w:rPr>
        <w:t xml:space="preserve">1 </w:t>
      </w:r>
      <w:r w:rsidRPr="009F3034">
        <w:rPr>
          <w:rFonts w:eastAsia="Calibri"/>
          <w:szCs w:val="18"/>
        </w:rPr>
        <w:t>and 78 TRP Rules.</w:t>
      </w:r>
    </w:p>
  </w:footnote>
  <w:footnote w:id="197">
    <w:p w14:paraId="79AC6A35" w14:textId="69816E88"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w:t>
      </w:r>
      <w:r w:rsidRPr="009F3034">
        <w:rPr>
          <w:szCs w:val="18"/>
        </w:rPr>
        <w:fldChar w:fldCharType="begin"/>
      </w:r>
      <w:r w:rsidRPr="009F3034">
        <w:rPr>
          <w:szCs w:val="18"/>
        </w:rPr>
        <w:instrText xml:space="preserve"> ADDIN ZOTERO_ITEM CSL_CITATION {"citationID":"dmHvVzuv","properties":{"formattedCitation":"Migration Department, \\uc0\\u8220{}Migracijos Departamentas - Naujienos: Fiktyvi\\uc0\\u371{} \\uc0\\u302{}moni\\uc0\\u371{} Schema Nepasiteisino \\uc0\\u8211{} U\\uc0\\u382{}sienie\\uc0\\u269{}iai Leidim\\uc0\\u371{} Gyventi Negavo [News: Fictitious Companies Scheme Failed - Foreigners Did Not Obtain Residence Permits],\\uc0\\u8221{} accessed March 15, 2018, http://www.migracija.lt/index.php?867979033.","plainCitation":"Migration Department, “Migracijos Departamentas - Naujienos: Fiktyvių Įmonių Schema Nepasiteisino – Užsieniečiai Leidimų Gyventi Negavo [News: Fictitious Companies Scheme Failed - Foreigners Did Not Obtain Residence Permits],” accessed March 15, 2018, http://www.migracija.lt/index.php?867979033.","noteIndex":195},"citationItems":[{"id":1364,"uris":["http://zotero.org/users/1614103/items/H2PQCJ4J"],"uri":["http://zotero.org/users/1614103/items/H2PQCJ4J"],"itemData":{"id":1364,"type":"webpage","title":"Migracijos departamentas - Naujienos: Fiktyvių įmonių schema nepasiteisino – užsieniečiai leidimų gyventi negavo [News: Fictitious Companies Scheme Failed - Foreigners Did Not Obtain Residence Permits]","URL":"http://www.migracija.lt/index.php?867979033","author":[{"family":"Migration Department","given":""}],"accessed":{"date-parts":[["2018",3,15]]}}}],"schema":"https://github.com/citation-style-language/schema/raw/master/csl-citation.json"} </w:instrText>
      </w:r>
      <w:r w:rsidRPr="009F3034">
        <w:rPr>
          <w:szCs w:val="18"/>
        </w:rPr>
        <w:fldChar w:fldCharType="separate"/>
      </w:r>
      <w:r w:rsidRPr="009F3034">
        <w:rPr>
          <w:szCs w:val="18"/>
        </w:rPr>
        <w:t>Migration Department, “Migracijos Departamentas - Naujienos: Fiktyvių Įmonių Schema Nepasiteisino – Užsieniečiai Leidimų Gyventi Negavo [News: Fictitious Companies Scheme Failed - Foreigners Did Not Obtain Residence Permits],” accessed March 15, 2018, http://www.migracija.lt/index.php?867979033.</w:t>
      </w:r>
      <w:r w:rsidRPr="009F3034">
        <w:rPr>
          <w:szCs w:val="18"/>
        </w:rPr>
        <w:fldChar w:fldCharType="end"/>
      </w:r>
    </w:p>
  </w:footnote>
  <w:footnote w:id="198">
    <w:p w14:paraId="0D3DFEE3" w14:textId="5E86B825"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Based on desk research and stakeholder consultation.</w:t>
      </w:r>
    </w:p>
  </w:footnote>
  <w:footnote w:id="199">
    <w:p w14:paraId="744FB129"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w:t>
      </w:r>
      <w:r w:rsidRPr="009F3034">
        <w:rPr>
          <w:szCs w:val="18"/>
        </w:rPr>
        <w:fldChar w:fldCharType="begin"/>
      </w:r>
      <w:r w:rsidRPr="009F3034">
        <w:rPr>
          <w:szCs w:val="18"/>
        </w:rPr>
        <w:instrText xml:space="preserve"> ADDIN ZOTERO_ITEM CSL_CITATION {"citationID":"QpSw7vFf","properties":{"formattedCitation":"Sipavi\\uc0\\u269{}ien\\uc0\\u279{}, Jer\\uc0\\u353{}ovas, and Stankevi\\uc0\\u269{}i\\uc0\\u363{}t\\uc0\\u279{}, \\uc0\\u8220{}Verslo Ir Investicij\\uc0\\u371{} Pritraukimas \\uc0\\u303{} Lietuv\\uc0\\u261{}: Migracijos Ir Migracijos Politikos Vaidmuo [Attracting Business and Investment into Lithuania: The Role of Migration and Migration Politics],\\uc0\\u8221{} 28.","plainCitation":"Sipavičienė, Jeršovas, and Stankevičiūtė, “Verslo Ir Investicijų Pritraukimas į Lietuvą: Migracijos Ir Migracijos Politikos Vaidmuo [Attracting Business and Investment into Lithuania: The Role of Migration and Migration Politics],” 28.","noteIndex":131},"citationItems":[{"id":1315,"uris":["http://zotero.org/users/1614103/items/Z7ASCALD"],"uri":["http://zotero.org/users/1614103/items/Z7ASCALD"],"itemData":{"id":1315,"type":"report","title":"Verslo ir investicijų pritraukimas į Lietuvą: migracijos ir migracijos politikos vaidmuo [Attracting business and investment into Lithuania: the role of migration and migration politics]","publisher":"European Migration Network, IOM Vilnius Office","URL":"http://emn.lt/wp-content/uploads/2015/10/Verslo-ir-investicij%C5%B3-pritraukimas-%C4%AF-Lietuv%C4%85.pdf","author":[{"family":"Sipavičienė","given":"Audra"},{"family":"Jeršovas","given":"Mantas"},{"family":"Stankevičiūtė","given":"Agnė"}],"issued":{"date-parts":[["2015"]]},"accessed":{"date-parts":[["2018",2,27]]}},"locator":"28"}],"schema":"https://github.com/citation-style-language/schema/raw/master/csl-citation.json"} </w:instrText>
      </w:r>
      <w:r w:rsidRPr="009F3034">
        <w:rPr>
          <w:szCs w:val="18"/>
        </w:rPr>
        <w:fldChar w:fldCharType="separate"/>
      </w:r>
      <w:r w:rsidRPr="009F3034">
        <w:rPr>
          <w:szCs w:val="18"/>
        </w:rPr>
        <w:t>Sipavičienė, Jeršovas, and Stankevičiūtė, “Verslo Ir Investicijų Pritraukimas į Lietuvą: Migracijos Ir Migracijos Politikos Vaidmuo [Attracting Business and Investment into Lithuania: The Role of Migration and Migration Politics],” 28.</w:t>
      </w:r>
      <w:r w:rsidRPr="009F3034">
        <w:rPr>
          <w:szCs w:val="18"/>
        </w:rPr>
        <w:fldChar w:fldCharType="end"/>
      </w:r>
      <w:r w:rsidRPr="009F3034">
        <w:rPr>
          <w:szCs w:val="18"/>
        </w:rPr>
        <w:t xml:space="preserve"> Also Information with the Migration Department; competent authority on migration issues; 28 February 2018.</w:t>
      </w:r>
    </w:p>
  </w:footnote>
  <w:footnote w:id="200">
    <w:p w14:paraId="099DDF87" w14:textId="77777777" w:rsidR="009F3034" w:rsidRPr="009F3034" w:rsidRDefault="009F3034" w:rsidP="009F3034">
      <w:pPr>
        <w:pStyle w:val="FootnoteText"/>
        <w:jc w:val="left"/>
        <w:rPr>
          <w:szCs w:val="18"/>
          <w:lang w:val="lt-LT"/>
        </w:rPr>
      </w:pPr>
      <w:r w:rsidRPr="009F3034">
        <w:rPr>
          <w:rStyle w:val="FootnoteReference"/>
          <w:szCs w:val="18"/>
        </w:rPr>
        <w:footnoteRef/>
      </w:r>
      <w:r w:rsidRPr="009F3034">
        <w:rPr>
          <w:szCs w:val="18"/>
        </w:rPr>
        <w:t xml:space="preserve"> </w:t>
      </w:r>
      <w:r w:rsidRPr="009F3034">
        <w:rPr>
          <w:szCs w:val="18"/>
          <w:lang w:val="lt-LT"/>
        </w:rPr>
        <w:t xml:space="preserve">Article 6.1(2) of the Law on Health Insurance (Lietuvos Respublikos sveikatos draudimo įstatymas), Valstybės žinios No. 55-1287, 0961010ISTA00I-1343, available at </w:t>
      </w:r>
      <w:hyperlink r:id="rId17" w:history="1">
        <w:r w:rsidRPr="009F3034">
          <w:rPr>
            <w:rStyle w:val="Hyperlink"/>
            <w:szCs w:val="18"/>
            <w:lang w:val="lt-LT"/>
          </w:rPr>
          <w:t>https://www.e-tar.lt/portal/en/legalAct/TAR.94F6B680E8B8/jylPSqHbsV</w:t>
        </w:r>
      </w:hyperlink>
      <w:r w:rsidRPr="009F3034">
        <w:rPr>
          <w:szCs w:val="18"/>
          <w:lang w:val="lt-LT"/>
        </w:rPr>
        <w:t>.</w:t>
      </w:r>
    </w:p>
  </w:footnote>
  <w:footnote w:id="201">
    <w:p w14:paraId="7B4D7C99" w14:textId="73CD0EB2" w:rsidR="009F3034" w:rsidRPr="009F3034" w:rsidRDefault="009F3034" w:rsidP="009F3034">
      <w:pPr>
        <w:pStyle w:val="FootnoteText"/>
        <w:jc w:val="left"/>
        <w:rPr>
          <w:szCs w:val="18"/>
          <w:lang w:val="lt-LT"/>
        </w:rPr>
      </w:pPr>
      <w:r w:rsidRPr="009F3034">
        <w:rPr>
          <w:rStyle w:val="FootnoteReference"/>
          <w:szCs w:val="18"/>
        </w:rPr>
        <w:footnoteRef/>
      </w:r>
      <w:r w:rsidRPr="009F3034">
        <w:rPr>
          <w:szCs w:val="18"/>
          <w:lang w:val="lt-LT"/>
        </w:rPr>
        <w:t xml:space="preserve"> </w:t>
      </w:r>
      <w:r w:rsidRPr="009F3034">
        <w:rPr>
          <w:szCs w:val="18"/>
        </w:rPr>
        <w:fldChar w:fldCharType="begin"/>
      </w:r>
      <w:r w:rsidRPr="009F3034">
        <w:rPr>
          <w:szCs w:val="18"/>
          <w:lang w:val="lt-LT"/>
        </w:rPr>
        <w:instrText xml:space="preserve"> ADDIN ZOTERO_ITEM CSL_CITATION {"citationID":"xIclVqSm","properties":{"formattedCitation":"Irena Dvilaitien\\uc0\\u279{}, Beatri\\uc0\\u269{}\\uc0\\u279{} Bernotien\\uc0\\u279{}, and Vita \\uc0\\u352{}ulskyt\\uc0\\u279{}, \\uc0\\u8220{}U\\uc0\\u382{}sienie\\uc0\\u269{}iai Ir Mi\\uc0\\u353{}rios \\uc0\\u352{}eimos Lietuvoje: Praktini\\uc0\\u371{} Situacij\\uc0\\u371{} Gidas [Aliens and Mixed Families in Lithuania: A Practical Guide]\\uc0\\u8221{} (International Migration Organisation (Vilnius Office), 2015), 19.","plainCitation":"Irena Dvilaitienė, Beatričė Bernotienė, and Vita Šulskytė, “Užsieniečiai Ir Mišrios Šeimos Lietuvoje: Praktinių Situacijų Gidas [Aliens and Mixed Families in Lithuania: A Practical Guide]” (International Migration Organisation (Vilnius Office), 2015), 19.","noteIndex":205},"citationItems":[{"id":1512,"uris":["http://zotero.org/users/1614103/items/AH6VRJLS"],"uri":["http://zotero.org/users/1614103/items/AH6VRJLS"],"itemData":{"id":1512,"type":"article","title":"Užsieniečiai ir mišrios šeimos Lietuvoje: Praktinių situacijų gidas [Aliens and mixed families in Lithuania: A practical guide]","publisher":"International Migration Organisation (Vilnius Office)","author":[{"family":"Dvilaitienė","given":"Irena"},{"family":"Bernotienė","given":"Beatričė"},{"family":"Šulskytė","given":"Vita"}],"issued":{"date-parts":[["2015"]]}},"locator":"19"}],"schema":"https://github.com/citation-style-language/schema/raw/master/csl-citation.json"} </w:instrText>
      </w:r>
      <w:r w:rsidRPr="009F3034">
        <w:rPr>
          <w:szCs w:val="18"/>
        </w:rPr>
        <w:fldChar w:fldCharType="separate"/>
      </w:r>
      <w:r w:rsidRPr="009F3034">
        <w:rPr>
          <w:szCs w:val="18"/>
          <w:lang w:val="lt-LT"/>
        </w:rPr>
        <w:t>Irena Dvilaitienė, Beatričė Bernotienė, and Vita Šulskytė, “Užsieniečiai Ir Mišrios Šeimos Lietuvoje: Praktinių Situacijų Gidas [Aliens and Mixed Families in Lithuania: A Practical Guide]” (International Migration Organisation (Vilnius Office), 2015), 19.</w:t>
      </w:r>
      <w:r w:rsidRPr="009F3034">
        <w:rPr>
          <w:szCs w:val="18"/>
        </w:rPr>
        <w:fldChar w:fldCharType="end"/>
      </w:r>
    </w:p>
  </w:footnote>
  <w:footnote w:id="202">
    <w:p w14:paraId="0895060E" w14:textId="48A17816"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Information with the Migration Department; competent authority on migration issues; 28 February 2018. For the latest round-up on social security rights in Lithuania, see </w:t>
      </w:r>
      <w:r w:rsidRPr="009F3034">
        <w:rPr>
          <w:szCs w:val="18"/>
        </w:rPr>
        <w:fldChar w:fldCharType="begin"/>
      </w:r>
      <w:r w:rsidRPr="009F3034">
        <w:rPr>
          <w:szCs w:val="18"/>
        </w:rPr>
        <w:instrText xml:space="preserve"> ADDIN ZOTERO_ITEM CSL_CITATION {"citationID":"Z9cnX189","properties":{"formattedCitation":"European Commission, \\uc0\\u8220{}Your Social Security Rights in Lithuania,\\uc0\\u8221{} 2017, http://ec.europa.eu/social/BlobServlet?docId=13747&amp;langId=en.","plainCitation":"European Commission, “Your Social Security Rights in Lithuania,” 2017, http://ec.europa.eu/social/BlobServlet?docId=13747&amp;langId=en.","noteIndex":206},"citationItems":[{"id":1372,"uris":["http://zotero.org/users/1614103/items/KYLT577E"],"uri":["http://zotero.org/users/1614103/items/KYLT577E"],"itemData":{"id":1372,"type":"report","title":"Your social security rights in Lithuania","URL":"http://ec.europa.eu/social/BlobServlet?docId=13747&amp;langId=en","language":"EN","author":[{"family":"European Commission","given":""}],"issued":{"date-parts":[["2017"]]},"accessed":{"date-parts":[["2018",3,23]]}}}],"schema":"https://github.com/citation-style-language/schema/raw/master/csl-citation.json"} </w:instrText>
      </w:r>
      <w:r w:rsidRPr="009F3034">
        <w:rPr>
          <w:szCs w:val="18"/>
        </w:rPr>
        <w:fldChar w:fldCharType="separate"/>
      </w:r>
      <w:r w:rsidRPr="009F3034">
        <w:rPr>
          <w:szCs w:val="18"/>
        </w:rPr>
        <w:t>European Commission, “Your Social Security Rights in Lithuania,” 2017, http://ec.europa.eu/social/BlobServlet?docId=13747&amp;langId=en.</w:t>
      </w:r>
      <w:r w:rsidRPr="009F3034">
        <w:rPr>
          <w:szCs w:val="18"/>
        </w:rPr>
        <w:fldChar w:fldCharType="end"/>
      </w:r>
    </w:p>
  </w:footnote>
  <w:footnote w:id="203">
    <w:p w14:paraId="1291B204" w14:textId="2306B2DF" w:rsidR="009F3034" w:rsidRPr="009F3034" w:rsidRDefault="009F3034" w:rsidP="009F3034">
      <w:pPr>
        <w:pStyle w:val="FootnoteText"/>
        <w:jc w:val="left"/>
        <w:rPr>
          <w:szCs w:val="18"/>
          <w:lang w:val="lt-LT"/>
        </w:rPr>
      </w:pPr>
      <w:r w:rsidRPr="009F3034">
        <w:rPr>
          <w:rStyle w:val="FootnoteReference"/>
          <w:szCs w:val="18"/>
        </w:rPr>
        <w:footnoteRef/>
      </w:r>
      <w:r w:rsidRPr="009F3034">
        <w:rPr>
          <w:szCs w:val="18"/>
        </w:rPr>
        <w:t xml:space="preserve"> Article 24.1 Republic of Lithuania Law on Education (</w:t>
      </w:r>
      <w:r w:rsidRPr="009F3034">
        <w:rPr>
          <w:i/>
          <w:szCs w:val="18"/>
        </w:rPr>
        <w:t>Lietuvos Respublikos švietimo įstatymas</w:t>
      </w:r>
      <w:r w:rsidRPr="009F3034">
        <w:rPr>
          <w:szCs w:val="18"/>
        </w:rPr>
        <w:t xml:space="preserve">), Lietuvos aidas No. 153-0, 0911010ISTA00I-1489, available at </w:t>
      </w:r>
      <w:hyperlink r:id="rId18" w:history="1">
        <w:r w:rsidRPr="009F3034">
          <w:rPr>
            <w:rStyle w:val="Hyperlink"/>
            <w:szCs w:val="18"/>
          </w:rPr>
          <w:t>https://www.e-tar.lt/portal/en/legalAct/TAR.9A3AD08EA5D0/TAIS_458774</w:t>
        </w:r>
      </w:hyperlink>
      <w:r w:rsidRPr="009F3034">
        <w:rPr>
          <w:szCs w:val="18"/>
        </w:rPr>
        <w:t>.</w:t>
      </w:r>
    </w:p>
  </w:footnote>
  <w:footnote w:id="204">
    <w:p w14:paraId="7E5D8ADD"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40.6 LLSA; Information with the Migration Department; competent authority on migration issues; 28 February 2018.</w:t>
      </w:r>
    </w:p>
  </w:footnote>
  <w:footnote w:id="205">
    <w:p w14:paraId="65A52CEE" w14:textId="150998F0"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w:t>
      </w:r>
      <w:r w:rsidRPr="009F3034">
        <w:rPr>
          <w:szCs w:val="18"/>
        </w:rPr>
        <w:fldChar w:fldCharType="begin"/>
      </w:r>
      <w:r w:rsidRPr="009F3034">
        <w:rPr>
          <w:szCs w:val="18"/>
        </w:rPr>
        <w:instrText xml:space="preserve"> ADDIN ZOTERO_ITEM CSL_CITATION {"citationID":"Znq2StO3","properties":{"formattedCitation":"Sipavi\\uc0\\u269{}ien\\uc0\\u279{}, Jer\\uc0\\u353{}ovas, and Stankevi\\uc0\\u269{}i\\uc0\\u363{}t\\uc0\\u279{}, \\uc0\\u8220{}Verslo Ir Investicij\\uc0\\u371{} Pritraukimas \\uc0\\u303{} Lietuv\\uc0\\u261{}: Migracijos Ir Migracijos Politikos Vaidmuo [Attracting Business and Investment into Lithuania: The Role of Migration and Migration Politics],\\uc0\\u8221{} 28.","plainCitation":"Sipavičienė, Jeršovas, and Stankevičiūtė, “Verslo Ir Investicijų Pritraukimas į Lietuvą: Migracijos Ir Migracijos Politikos Vaidmuo [Attracting Business and Investment into Lithuania: The Role of Migration and Migration Politics],” 28.","noteIndex":208},"citationItems":[{"id":1315,"uris":["http://zotero.org/users/1614103/items/Z7ASCALD"],"uri":["http://zotero.org/users/1614103/items/Z7ASCALD"],"itemData":{"id":1315,"type":"report","title":"Verslo ir investicijų pritraukimas į Lietuvą: migracijos ir migracijos politikos vaidmuo [Attracting business and investment into Lithuania: the role of migration and migration politics]","publisher":"European Migration Network, IOM Vilnius Office","URL":"http://emn.lt/wp-content/uploads/2015/10/Verslo-ir-investicij%C5%B3-pritraukimas-%C4%AF-Lietuv%C4%85.pdf","author":[{"family":"Sipavičienė","given":"Audra"},{"family":"Jeršovas","given":"Mantas"},{"family":"Stankevičiūtė","given":"Agnė"}],"issued":{"date-parts":[["2015"]]},"accessed":{"date-parts":[["2018",2,27]]}},"locator":"28"}],"schema":"https://github.com/citation-style-language/schema/raw/master/csl-citation.json"} </w:instrText>
      </w:r>
      <w:r w:rsidRPr="009F3034">
        <w:rPr>
          <w:szCs w:val="18"/>
        </w:rPr>
        <w:fldChar w:fldCharType="separate"/>
      </w:r>
      <w:r w:rsidRPr="009F3034">
        <w:rPr>
          <w:szCs w:val="18"/>
        </w:rPr>
        <w:t>Sipavičienė, Jeršovas, and Stankevičiūtė, “Verslo Ir Investicijų Pritraukimas į Lietuvą: Migracijos Ir Migracijos Politikos Vaidmuo [Attracting Business and Investment into Lithuania: The Role of Migration and Migration Politics],” 28.</w:t>
      </w:r>
      <w:r w:rsidRPr="009F3034">
        <w:rPr>
          <w:szCs w:val="18"/>
        </w:rPr>
        <w:fldChar w:fldCharType="end"/>
      </w:r>
    </w:p>
  </w:footnote>
  <w:footnote w:id="206">
    <w:p w14:paraId="069DE931" w14:textId="763C0B9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24.1 Republic of Lithuania Law on Education (Lietuvos Respublikos švietimo įstatymas), Lietuvos aidas No. 153-0, 0911010ISTA00I-1489, available at </w:t>
      </w:r>
      <w:hyperlink r:id="rId19" w:history="1">
        <w:r w:rsidRPr="009F3034">
          <w:rPr>
            <w:rStyle w:val="Hyperlink"/>
            <w:szCs w:val="18"/>
          </w:rPr>
          <w:t>https://www.e-tar.lt/portal/en/legalAct/TAR.9A3AD08EA5D0/TAIS_458774</w:t>
        </w:r>
      </w:hyperlink>
      <w:r w:rsidRPr="009F3034">
        <w:rPr>
          <w:szCs w:val="18"/>
        </w:rPr>
        <w:t xml:space="preserve">. </w:t>
      </w:r>
    </w:p>
  </w:footnote>
  <w:footnote w:id="207">
    <w:p w14:paraId="36F4710B" w14:textId="56110449"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Order of the Minister of Education and Science ’On the children of aliens and of Lithuanian citizens who arrive or return to live and work in Lithuania and wish to study in children or adult adjustment classes and adjustment mobile groups’ (Lietuvos Respublikos </w:t>
      </w:r>
      <w:r w:rsidRPr="009F3034">
        <w:rPr>
          <w:szCs w:val="18"/>
          <w:lang w:val="lt-LT"/>
        </w:rPr>
        <w:t>Š</w:t>
      </w:r>
      <w:r w:rsidRPr="009F3034">
        <w:rPr>
          <w:szCs w:val="18"/>
        </w:rPr>
        <w:t xml:space="preserve">vietimo ir mokslo ministro </w:t>
      </w:r>
      <w:r w:rsidRPr="009F3034">
        <w:rPr>
          <w:szCs w:val="18"/>
          <w:lang w:val="lt-LT"/>
        </w:rPr>
        <w:t xml:space="preserve">įsakymas </w:t>
      </w:r>
      <w:r w:rsidRPr="009F3034">
        <w:rPr>
          <w:szCs w:val="18"/>
        </w:rPr>
        <w:t>‘Dėl Užsieniečių ir Lietuvos Respublikos piliečių, atvykusių ar grįžusių gyventi ir dirbti Lietuvos Respublikoje, vaikų ir suaugusiųjų ugdymo išlyginamosiose klasėse ir išlyginamosiose mobiliosiose grupėse tvarkos aprašo patvirtinimo’), Valstybės žinios No. 109-3991, 1052070ISAKSAK-1800, available at https://www.e-tar.lt/portal/en/legalAct/TAR.661870DCF152.</w:t>
      </w:r>
    </w:p>
  </w:footnote>
  <w:footnote w:id="208">
    <w:p w14:paraId="645AC4ED" w14:textId="4F0BB410"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w:t>
      </w:r>
      <w:r w:rsidRPr="009F3034">
        <w:rPr>
          <w:szCs w:val="18"/>
        </w:rPr>
        <w:fldChar w:fldCharType="begin"/>
      </w:r>
      <w:r w:rsidRPr="009F3034">
        <w:rPr>
          <w:szCs w:val="18"/>
        </w:rPr>
        <w:instrText xml:space="preserve"> ADDIN ZOTERO_ITEM CSL_CITATION {"citationID":"9K8gkn5w","properties":{"formattedCitation":"Dvilaitien\\uc0\\u279{}, Bernotien\\uc0\\u279{}, and \\uc0\\u352{}ulskyt\\uc0\\u279{}, \\uc0\\u8220{}U\\uc0\\u382{}sienie\\uc0\\u269{}iai Ir Mi\\uc0\\u353{}rios \\uc0\\u352{}eimos Lietuvoje: Praktini\\uc0\\u371{} Situacij\\uc0\\u371{} Gidas [Aliens and Mixed Families in Lithuania: A Practical Guide],\\uc0\\u8221{} 20.","plainCitation":"Dvilaitienė, Bernotienė, and Šulskytė, “Užsieniečiai Ir Mišrios Šeimos Lietuvoje: Praktinių Situacijų Gidas [Aliens and Mixed Families in Lithuania: A Practical Guide],” 20.","noteIndex":210},"citationItems":[{"id":1512,"uris":["http://zotero.org/users/1614103/items/AH6VRJLS"],"uri":["http://zotero.org/users/1614103/items/AH6VRJLS"],"itemData":{"id":1512,"type":"article","title":"Užsieniečiai ir mišrios šeimos Lietuvoje: Praktinių situacijų gidas [Aliens and mixed families in Lithuania: A practical guide]","publisher":"International Migration Organisation (Vilnius Office)","author":[{"family":"Dvilaitienė","given":"Irena"},{"family":"Bernotienė","given":"Beatričė"},{"family":"Šulskytė","given":"Vita"}],"issued":{"date-parts":[["2015"]]}},"locator":"20"}],"schema":"https://github.com/citation-style-language/schema/raw/master/csl-citation.json"} </w:instrText>
      </w:r>
      <w:r w:rsidRPr="009F3034">
        <w:rPr>
          <w:szCs w:val="18"/>
        </w:rPr>
        <w:fldChar w:fldCharType="separate"/>
      </w:r>
      <w:r w:rsidRPr="009F3034">
        <w:rPr>
          <w:szCs w:val="18"/>
        </w:rPr>
        <w:t>Dvilaitienė, Bernotienė, and Šulskytė, “Užsieniečiai Ir Mišrios Šeimos Lietuvoje: Praktinių Situacijų Gidas [Aliens and Mixed Families in Lithuania: A Practical Guide],” 20.</w:t>
      </w:r>
      <w:r w:rsidRPr="009F3034">
        <w:rPr>
          <w:szCs w:val="18"/>
        </w:rPr>
        <w:fldChar w:fldCharType="end"/>
      </w:r>
    </w:p>
  </w:footnote>
  <w:footnote w:id="209">
    <w:p w14:paraId="44A74AF4" w14:textId="0B43D824" w:rsidR="009F3034" w:rsidRPr="009F3034" w:rsidRDefault="009F3034" w:rsidP="009F3034">
      <w:pPr>
        <w:pStyle w:val="FootnoteText"/>
        <w:jc w:val="left"/>
        <w:rPr>
          <w:szCs w:val="18"/>
          <w:lang w:val="lt-LT"/>
        </w:rPr>
      </w:pPr>
      <w:r w:rsidRPr="009F3034">
        <w:rPr>
          <w:rStyle w:val="FootnoteReference"/>
          <w:szCs w:val="18"/>
        </w:rPr>
        <w:footnoteRef/>
      </w:r>
      <w:r w:rsidRPr="009F3034">
        <w:rPr>
          <w:szCs w:val="18"/>
        </w:rPr>
        <w:t xml:space="preserve"> </w:t>
      </w:r>
      <w:r w:rsidRPr="009F3034">
        <w:rPr>
          <w:szCs w:val="18"/>
        </w:rPr>
        <w:fldChar w:fldCharType="begin"/>
      </w:r>
      <w:r w:rsidRPr="009F3034">
        <w:rPr>
          <w:szCs w:val="18"/>
        </w:rPr>
        <w:instrText xml:space="preserve"> ADDIN ZOTERO_ITEM CSL_CITATION {"citationID":"rE5xzYhz","properties":{"formattedCitation":"Ministry of Social Security and Labour, \\uc0\\u8220{}U\\uc0\\u382{}sienie\\uc0\\u269{}i\\uc0\\u371{} integracija [Integration of aliens],\\uc0\\u8221{} accessed May 16, 2018, http://socmin.lrv.lt/lt/veiklos-sritys/socialine-integracija/uzsienieciu-integracija.","plainCitation":"Ministry of Social Security and Labour, “Užsieniečių integracija [Integration of aliens],” accessed May 16, 2018, http://socmin.lrv.lt/lt/veiklos-sritys/socialine-integracija/uzsienieciu-integracija.","noteIndex":211},"citationItems":[{"id":1510,"uris":["http://zotero.org/users/1614103/items/YGIR97XT"],"uri":["http://zotero.org/users/1614103/items/YGIR97XT"],"itemData":{"id":1510,"type":"webpage","title":"Užsieniečių integracija [Integration of aliens]","abstract":"Užsieniečių, gavusių prieglobstį, socialinė integracija","URL":"http://socmin.lrv.lt/lt/veiklos-sritys/socialine-integracija/uzsienieciu-integracija","language":"lt","author":[{"family":"Ministry of Social Security and Labour","given":""}],"accessed":{"date-parts":[["2018",5,16]]}}}],"schema":"https://github.com/citation-style-language/schema/raw/master/csl-citation.json"} </w:instrText>
      </w:r>
      <w:r w:rsidRPr="009F3034">
        <w:rPr>
          <w:szCs w:val="18"/>
        </w:rPr>
        <w:fldChar w:fldCharType="separate"/>
      </w:r>
      <w:r w:rsidRPr="009F3034">
        <w:rPr>
          <w:szCs w:val="18"/>
        </w:rPr>
        <w:t>Ministry of Social Security and Labour, “Užsieniečių integracija [Integration of aliens],” accessed May 16, 2018, http://socmin.lrv.lt/lt/veiklos-sritys/socialine-integracija/uzsienieciu-integracija.</w:t>
      </w:r>
      <w:r w:rsidRPr="009F3034">
        <w:rPr>
          <w:szCs w:val="18"/>
        </w:rPr>
        <w:fldChar w:fldCharType="end"/>
      </w:r>
    </w:p>
  </w:footnote>
  <w:footnote w:id="210">
    <w:p w14:paraId="0CB98EFD"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Information with the Migration Department; competent authority on migration issues; 28 February 2018; </w:t>
      </w:r>
      <w:r w:rsidRPr="009F3034">
        <w:rPr>
          <w:szCs w:val="18"/>
        </w:rPr>
        <w:fldChar w:fldCharType="begin"/>
      </w:r>
      <w:r w:rsidRPr="009F3034">
        <w:rPr>
          <w:szCs w:val="18"/>
        </w:rPr>
        <w:instrText xml:space="preserve"> ADDIN ZOTERO_ITEM CSL_CITATION {"citationID":"vzzNhPxc","properties":{"formattedCitation":"Sipavi\\uc0\\u269{}ien\\uc0\\u279{}, Jer\\uc0\\u353{}ovas, and Stankevi\\uc0\\u269{}i\\uc0\\u363{}t\\uc0\\u279{}, 28.","plainCitation":"Sipavičienė, Jeršovas, and Stankevičiūtė, 28.","noteIndex":133},"citationItems":[{"id":1315,"uris":["http://zotero.org/users/1614103/items/Z7ASCALD"],"uri":["http://zotero.org/users/1614103/items/Z7ASCALD"],"itemData":{"id":1315,"type":"report","title":"Verslo ir investicijų pritraukimas į Lietuvą: migracijos ir migracijos politikos vaidmuo [Attracting business and investment into Lithuania: the role of migration and migration politics]","publisher":"European Migration Network, IOM Vilnius Office","URL":"http://emn.lt/wp-content/uploads/2015/10/Verslo-ir-investicij%C5%B3-pritraukimas-%C4%AF-Lietuv%C4%85.pdf","author":[{"family":"Sipavičienė","given":"Audra"},{"family":"Jeršovas","given":"Mantas"},{"family":"Stankevičiūtė","given":"Agnė"}],"issued":{"date-parts":[["2015"]]},"accessed":{"date-parts":[["2018",2,27]]}},"locator":"28"}],"schema":"https://github.com/citation-style-language/schema/raw/master/csl-citation.json"} </w:instrText>
      </w:r>
      <w:r w:rsidRPr="009F3034">
        <w:rPr>
          <w:szCs w:val="18"/>
        </w:rPr>
        <w:fldChar w:fldCharType="separate"/>
      </w:r>
      <w:r w:rsidRPr="009F3034">
        <w:rPr>
          <w:szCs w:val="18"/>
        </w:rPr>
        <w:t>Sipavičienė, Jeršovas, and Stankevičiūtė, 28.</w:t>
      </w:r>
      <w:r w:rsidRPr="009F3034">
        <w:rPr>
          <w:szCs w:val="18"/>
        </w:rPr>
        <w:fldChar w:fldCharType="end"/>
      </w:r>
    </w:p>
  </w:footnote>
  <w:footnote w:id="211">
    <w:p w14:paraId="45AF424C"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Information with the Migration Department; competent authority on migration issues; 28 February 2018; </w:t>
      </w:r>
      <w:r w:rsidRPr="009F3034">
        <w:rPr>
          <w:szCs w:val="18"/>
        </w:rPr>
        <w:fldChar w:fldCharType="begin"/>
      </w:r>
      <w:r w:rsidRPr="009F3034">
        <w:rPr>
          <w:szCs w:val="18"/>
        </w:rPr>
        <w:instrText xml:space="preserve"> ADDIN ZOTERO_ITEM CSL_CITATION {"citationID":"dFT6YfzP","properties":{"formattedCitation":"Sipavi\\uc0\\u269{}ien\\uc0\\u279{}, Jer\\uc0\\u353{}ovas, and Stankevi\\uc0\\u269{}i\\uc0\\u363{}t\\uc0\\u279{}, 28.","plainCitation":"Sipavičienė, Jeršovas, and Stankevičiūtė, 28.","noteIndex":160},"citationItems":[{"id":1315,"uris":["http://zotero.org/users/1614103/items/Z7ASCALD"],"uri":["http://zotero.org/users/1614103/items/Z7ASCALD"],"itemData":{"id":1315,"type":"report","title":"Verslo ir investicijų pritraukimas į Lietuvą: migracijos ir migracijos politikos vaidmuo [Attracting business and investment into Lithuania: the role of migration and migration politics]","publisher":"European Migration Network, IOM Vilnius Office","URL":"http://emn.lt/wp-content/uploads/2015/10/Verslo-ir-investicij%C5%B3-pritraukimas-%C4%AF-Lietuv%C4%85.pdf","author":[{"family":"Sipavičienė","given":"Audra"},{"family":"Jeršovas","given":"Mantas"},{"family":"Stankevičiūtė","given":"Agnė"}],"issued":{"date-parts":[["2015"]]},"accessed":{"date-parts":[["2018",2,27]]}},"locator":"28"}],"schema":"https://github.com/citation-style-language/schema/raw/master/csl-citation.json"} </w:instrText>
      </w:r>
      <w:r w:rsidRPr="009F3034">
        <w:rPr>
          <w:szCs w:val="18"/>
        </w:rPr>
        <w:fldChar w:fldCharType="separate"/>
      </w:r>
      <w:r w:rsidRPr="009F3034">
        <w:rPr>
          <w:szCs w:val="18"/>
        </w:rPr>
        <w:t>Sipavičienė, Jeršovas, and Stankevičiūtė, 28.</w:t>
      </w:r>
      <w:r w:rsidRPr="009F3034">
        <w:rPr>
          <w:szCs w:val="18"/>
        </w:rPr>
        <w:fldChar w:fldCharType="end"/>
      </w:r>
    </w:p>
  </w:footnote>
  <w:footnote w:id="212">
    <w:p w14:paraId="6F8F34E6"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Information with the Migration Department; competent authority on migration issues; 28 February 2018.</w:t>
      </w:r>
    </w:p>
  </w:footnote>
  <w:footnote w:id="213">
    <w:p w14:paraId="4D9F530D" w14:textId="515F7FEF"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Article 18.1, Republic of Lithuania Law on Citizenship (Lietuvos Respublikos pilietybės įstatymas), Valstybės žinios No. 144-7361, 1101010ISTA0XI-1196, available at </w:t>
      </w:r>
      <w:hyperlink r:id="rId20" w:history="1">
        <w:r w:rsidRPr="009F3034">
          <w:rPr>
            <w:rStyle w:val="Hyperlink"/>
            <w:szCs w:val="18"/>
          </w:rPr>
          <w:t>https://e-seimas.lrs.lt/portal/legalAct/lt/TAD/TAIS.387811/PtyylkFObc</w:t>
        </w:r>
      </w:hyperlink>
      <w:r w:rsidRPr="009F3034">
        <w:rPr>
          <w:szCs w:val="18"/>
        </w:rPr>
        <w:t xml:space="preserve">. </w:t>
      </w:r>
    </w:p>
  </w:footnote>
  <w:footnote w:id="214">
    <w:p w14:paraId="63ED4CD8"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Information with the Migration Department; competent authority on migration issues; 28 February 2018.</w:t>
      </w:r>
    </w:p>
  </w:footnote>
  <w:footnote w:id="215">
    <w:p w14:paraId="21A9ECE3"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Information with the Migration Department; competent authority on migration issues; 28 February 2018; Information with the European Migration Network in Lithuania, 26 February 2018.</w:t>
      </w:r>
    </w:p>
  </w:footnote>
  <w:footnote w:id="216">
    <w:p w14:paraId="0EF181F5" w14:textId="1DDD54B1"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As on 15 March 2018; </w:t>
      </w:r>
      <w:r w:rsidRPr="009F3034">
        <w:rPr>
          <w:szCs w:val="18"/>
        </w:rPr>
        <w:fldChar w:fldCharType="begin"/>
      </w:r>
      <w:r w:rsidRPr="009F3034">
        <w:rPr>
          <w:szCs w:val="18"/>
        </w:rPr>
        <w:instrText xml:space="preserve"> ADDIN ZOTERO_ITEM CSL_CITATION {"citationID":"TpZRG0NC","properties":{"formattedCitation":"Migration Department, \\uc0\\u8220{}Migracijos Departamentas - Business - The Owner, a Sharer of a Company.\\uc0\\u8221{}","plainCitation":"Migration Department, “Migracijos Departamentas - Business - The Owner, a Sharer of a Company.”","noteIndex":207},"citationItems":[{"id":1338,"uris":["http://zotero.org/users/1614103/items/U3JQ6LTT"],"uri":["http://zotero.org/users/1614103/items/U3JQ6LTT"],"itemData":{"id":1338,"type":"webpage","title":"Migracijos departamentas - Business - The owner, a sharer of a company","URL":"http://www.migracija.lt/index.php?-921144007","author":[{"family":"Migration Department","given":""}],"accessed":{"date-parts":[["2018",3,11]]}}}],"schema":"https://github.com/citation-style-language/schema/raw/master/csl-citation.json"} </w:instrText>
      </w:r>
      <w:r w:rsidRPr="009F3034">
        <w:rPr>
          <w:szCs w:val="18"/>
        </w:rPr>
        <w:fldChar w:fldCharType="separate"/>
      </w:r>
      <w:r w:rsidRPr="009F3034">
        <w:rPr>
          <w:szCs w:val="18"/>
        </w:rPr>
        <w:t>Migration Department, “Migracijos Departamentas - Business - The Owner, a Sharer of a Company.”</w:t>
      </w:r>
      <w:r w:rsidRPr="009F3034">
        <w:rPr>
          <w:szCs w:val="18"/>
        </w:rPr>
        <w:fldChar w:fldCharType="end"/>
      </w:r>
    </w:p>
  </w:footnote>
  <w:footnote w:id="217">
    <w:p w14:paraId="62133E09"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Information with the Migration Department; competent authority on migration issues; 28 February 2018.</w:t>
      </w:r>
    </w:p>
  </w:footnote>
  <w:footnote w:id="218">
    <w:p w14:paraId="2266212F" w14:textId="0F011AF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Information with the Migration Department; competent authority on migration issues; 28 February 2018.</w:t>
      </w:r>
    </w:p>
  </w:footnote>
  <w:footnote w:id="219">
    <w:p w14:paraId="7F9F7B63" w14:textId="0A4CFFCA"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The Bank of Lithuania and Statistics Lithuania, ‘Statistical Release: Direct Investment 2016’ (31 March 2017), 2 </w:t>
      </w:r>
      <w:hyperlink r:id="rId21" w:history="1">
        <w:r w:rsidRPr="009F3034">
          <w:rPr>
            <w:rStyle w:val="Hyperlink"/>
            <w:szCs w:val="18"/>
          </w:rPr>
          <w:t>https://www.lb.lt/uploads/documents/files/TUI2016_IVketv_apzvalgaA.pdf</w:t>
        </w:r>
      </w:hyperlink>
      <w:r w:rsidRPr="009F3034">
        <w:rPr>
          <w:szCs w:val="18"/>
        </w:rPr>
        <w:t xml:space="preserve"> </w:t>
      </w:r>
    </w:p>
  </w:footnote>
  <w:footnote w:id="220">
    <w:p w14:paraId="27119294" w14:textId="0005B56E"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In EUR millions: Sweden 2,496.73; The Netherlands 1,585.68; Germany 1,315.42; Poland 957.82; Norway 919.18; Estonia 696.41; Cyprus 660.88; Denmark 591.06; Finland 588.29; Malta 405.42. See The Bank of Lithuania and Statistics Lithuania, ‘Statistical Release: Direct Investment 2016’ (31 March 2017), Table 1. </w:t>
      </w:r>
    </w:p>
  </w:footnote>
  <w:footnote w:id="221">
    <w:p w14:paraId="113656EB" w14:textId="08FCFC4D"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See section 7.3 of the Migration Yearbooks 2012-2017.</w:t>
      </w:r>
    </w:p>
  </w:footnote>
  <w:footnote w:id="222">
    <w:p w14:paraId="617C3967" w14:textId="10DBA1DA"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See ‘Legal background’ in Section I of this Report.</w:t>
      </w:r>
    </w:p>
  </w:footnote>
  <w:footnote w:id="223">
    <w:p w14:paraId="173FDBA7"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Information with the Migration Department; competent authority on migration issues; 28 February 2018.</w:t>
      </w:r>
    </w:p>
  </w:footnote>
  <w:footnote w:id="224">
    <w:p w14:paraId="07DA5D3A"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w:t>
      </w:r>
      <w:r w:rsidRPr="009F3034">
        <w:rPr>
          <w:szCs w:val="18"/>
        </w:rPr>
        <w:fldChar w:fldCharType="begin"/>
      </w:r>
      <w:r w:rsidRPr="009F3034">
        <w:rPr>
          <w:szCs w:val="18"/>
        </w:rPr>
        <w:instrText xml:space="preserve"> ADDIN ZOTERO_ITEM CSL_CITATION {"citationID":"N6LkxU31","properties":{"formattedCitation":"Sipavi\\uc0\\u269{}ien\\uc0\\u279{}, Jer\\uc0\\u353{}ovas, and Stankevi\\uc0\\u269{}i\\uc0\\u363{}t\\uc0\\u279{}, \\uc0\\u8220{}Verslo Ir Investicij\\uc0\\u371{} Pritraukimas \\uc0\\u303{} Lietuv\\uc0\\u261{}: Migracijos Ir Migracijos Politikos Vaidmuo [Attracting Business and Investment into Lithuania: The Role of Migration and Migration Politics],\\uc0\\u8221{} 38.","plainCitation":"Sipavičienė, Jeršovas, and Stankevičiūtė, “Verslo Ir Investicijų Pritraukimas į Lietuvą: Migracijos Ir Migracijos Politikos Vaidmuo [Attracting Business and Investment into Lithuania: The Role of Migration and Migration Politics],” 38.","noteIndex":168},"citationItems":[{"id":1315,"uris":["http://zotero.org/users/1614103/items/Z7ASCALD"],"uri":["http://zotero.org/users/1614103/items/Z7ASCALD"],"itemData":{"id":1315,"type":"report","title":"Verslo ir investicijų pritraukimas į Lietuvą: migracijos ir migracijos politikos vaidmuo [Attracting business and investment into Lithuania: the role of migration and migration politics]","publisher":"European Migration Network, IOM Vilnius Office","URL":"http://emn.lt/wp-content/uploads/2015/10/Verslo-ir-investicij%C5%B3-pritraukimas-%C4%AF-Lietuv%C4%85.pdf","author":[{"family":"Sipavičienė","given":"Audra"},{"family":"Jeršovas","given":"Mantas"},{"family":"Stankevičiūtė","given":"Agnė"}],"issued":{"date-parts":[["2015"]]},"accessed":{"date-parts":[["2018",2,27]]}},"locator":"38"}],"schema":"https://github.com/citation-style-language/schema/raw/master/csl-citation.json"} </w:instrText>
      </w:r>
      <w:r w:rsidRPr="009F3034">
        <w:rPr>
          <w:szCs w:val="18"/>
        </w:rPr>
        <w:fldChar w:fldCharType="separate"/>
      </w:r>
      <w:r w:rsidRPr="009F3034">
        <w:rPr>
          <w:szCs w:val="18"/>
        </w:rPr>
        <w:t>Sipavičienė, Jeršovas, and Stankevičiūtė, “Verslo Ir Investicijų Pritraukimas į Lietuvą: Migracijos Ir Migracijos Politikos Vaidmuo [Attracting Business and Investment into Lithuania: The Role of Migration and Migration Politics],” 38.</w:t>
      </w:r>
      <w:r w:rsidRPr="009F3034">
        <w:rPr>
          <w:szCs w:val="18"/>
        </w:rPr>
        <w:fldChar w:fldCharType="end"/>
      </w:r>
    </w:p>
  </w:footnote>
  <w:footnote w:id="225">
    <w:p w14:paraId="5F373F74" w14:textId="77777777"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w:t>
      </w:r>
      <w:r w:rsidRPr="009F3034">
        <w:rPr>
          <w:szCs w:val="18"/>
        </w:rPr>
        <w:fldChar w:fldCharType="begin"/>
      </w:r>
      <w:r w:rsidRPr="009F3034">
        <w:rPr>
          <w:szCs w:val="18"/>
        </w:rPr>
        <w:instrText xml:space="preserve"> ADDIN ZOTERO_ITEM CSL_CITATION {"citationID":"xFoSS2iO","properties":{"formattedCitation":"Sipavi\\uc0\\u269{}ien\\uc0\\u279{}, Jer\\uc0\\u353{}ovas, and Stankevi\\uc0\\u269{}i\\uc0\\u363{}t\\uc0\\u279{}, 39.","plainCitation":"Sipavičienė, Jeršovas, and Stankevičiūtė, 39.","noteIndex":137},"citationItems":[{"id":1315,"uris":["http://zotero.org/users/1614103/items/Z7ASCALD"],"uri":["http://zotero.org/users/1614103/items/Z7ASCALD"],"itemData":{"id":1315,"type":"report","title":"Verslo ir investicijų pritraukimas į Lietuvą: migracijos ir migracijos politikos vaidmuo [Attracting business and investment into Lithuania: the role of migration and migration politics]","publisher":"European Migration Network, IOM Vilnius Office","URL":"http://emn.lt/wp-content/uploads/2015/10/Verslo-ir-investicij%C5%B3-pritraukimas-%C4%AF-Lietuv%C4%85.pdf","author":[{"family":"Sipavičienė","given":"Audra"},{"family":"Jeršovas","given":"Mantas"},{"family":"Stankevičiūtė","given":"Agnė"}],"issued":{"date-parts":[["2015"]]},"accessed":{"date-parts":[["2018",2,27]]}},"locator":"39"}],"schema":"https://github.com/citation-style-language/schema/raw/master/csl-citation.json"} </w:instrText>
      </w:r>
      <w:r w:rsidRPr="009F3034">
        <w:rPr>
          <w:szCs w:val="18"/>
        </w:rPr>
        <w:fldChar w:fldCharType="separate"/>
      </w:r>
      <w:r w:rsidRPr="009F3034">
        <w:rPr>
          <w:szCs w:val="18"/>
        </w:rPr>
        <w:t>Sipavičienė, Jeršovas, and Stankevičiūtė, 39.</w:t>
      </w:r>
      <w:r w:rsidRPr="009F3034">
        <w:rPr>
          <w:szCs w:val="18"/>
        </w:rPr>
        <w:fldChar w:fldCharType="end"/>
      </w:r>
    </w:p>
  </w:footnote>
  <w:footnote w:id="226">
    <w:p w14:paraId="658A269F" w14:textId="13A0FE15"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w:t>
      </w:r>
      <w:r w:rsidRPr="009F3034">
        <w:rPr>
          <w:szCs w:val="18"/>
        </w:rPr>
        <w:fldChar w:fldCharType="begin"/>
      </w:r>
      <w:r w:rsidRPr="009F3034">
        <w:rPr>
          <w:szCs w:val="18"/>
        </w:rPr>
        <w:instrText xml:space="preserve"> ADDIN ZOTERO_ITEM CSL_CITATION {"citationID":"ycsL9eR5","properties":{"formattedCitation":"Sipavi\\uc0\\u269{}ien\\uc0\\u279{}, Jer\\uc0\\u353{}ovas, and Stankevi\\uc0\\u269{}i\\uc0\\u363{}t\\uc0\\u279{}, 46.","plainCitation":"Sipavičienė, Jeršovas, and Stankevičiūtė, 46.","noteIndex":212},"citationItems":[{"id":1315,"uris":["http://zotero.org/users/1614103/items/Z7ASCALD"],"uri":["http://zotero.org/users/1614103/items/Z7ASCALD"],"itemData":{"id":1315,"type":"report","title":"Verslo ir investicijų pritraukimas į Lietuvą: migracijos ir migracijos politikos vaidmuo [Attracting business and investment into Lithuania: the role of migration and migration politics]","publisher":"European Migration Network, IOM Vilnius Office","URL":"http://emn.lt/wp-content/uploads/2015/10/Verslo-ir-investicij%C5%B3-pritraukimas-%C4%AF-Lietuv%C4%85.pdf","author":[{"family":"Sipavičienė","given":"Audra"},{"family":"Jeršovas","given":"Mantas"},{"family":"Stankevičiūtė","given":"Agnė"}],"issued":{"date-parts":[["2015"]]},"accessed":{"date-parts":[["2018",2,27]]}},"locator":"46"}],"schema":"https://github.com/citation-style-language/schema/raw/master/csl-citation.json"} </w:instrText>
      </w:r>
      <w:r w:rsidRPr="009F3034">
        <w:rPr>
          <w:szCs w:val="18"/>
        </w:rPr>
        <w:fldChar w:fldCharType="separate"/>
      </w:r>
      <w:r w:rsidRPr="009F3034">
        <w:rPr>
          <w:szCs w:val="18"/>
        </w:rPr>
        <w:t>Sipavičienė, Jeršovas, and Stankevičiūtė, 46.</w:t>
      </w:r>
      <w:r w:rsidRPr="009F3034">
        <w:rPr>
          <w:szCs w:val="18"/>
        </w:rPr>
        <w:fldChar w:fldCharType="end"/>
      </w:r>
    </w:p>
  </w:footnote>
  <w:footnote w:id="227">
    <w:p w14:paraId="49646108" w14:textId="70ED7020" w:rsidR="009F3034" w:rsidRPr="009F3034" w:rsidRDefault="009F3034" w:rsidP="009F3034">
      <w:pPr>
        <w:pStyle w:val="FootnoteText"/>
        <w:jc w:val="left"/>
        <w:rPr>
          <w:szCs w:val="18"/>
          <w:lang w:val="en-US"/>
        </w:rPr>
      </w:pPr>
      <w:r w:rsidRPr="009F3034">
        <w:rPr>
          <w:rStyle w:val="FootnoteReference"/>
          <w:szCs w:val="18"/>
        </w:rPr>
        <w:footnoteRef/>
      </w:r>
      <w:r w:rsidRPr="009F3034">
        <w:rPr>
          <w:szCs w:val="18"/>
        </w:rPr>
        <w:t xml:space="preserve"> </w:t>
      </w:r>
      <w:r w:rsidRPr="009F3034">
        <w:rPr>
          <w:szCs w:val="18"/>
          <w:lang w:val="en-US"/>
        </w:rPr>
        <w:t>Conclusion based on desk research and stakeholder consultation carried out by the national expert.</w:t>
      </w:r>
    </w:p>
  </w:footnote>
  <w:footnote w:id="228">
    <w:p w14:paraId="36528376" w14:textId="0D4197C5"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w:t>
      </w:r>
      <w:r w:rsidRPr="009F3034">
        <w:rPr>
          <w:szCs w:val="18"/>
        </w:rPr>
        <w:fldChar w:fldCharType="begin"/>
      </w:r>
      <w:r w:rsidRPr="009F3034">
        <w:rPr>
          <w:szCs w:val="18"/>
        </w:rPr>
        <w:instrText xml:space="preserve"> ADDIN ZOTERO_ITEM CSL_CITATION {"citationID":"mkjbLnOA","properties":{"formattedCitation":"Sipavi\\uc0\\u269{}ien\\uc0\\u279{}, Jer\\uc0\\u353{}ovas, and Stankevi\\uc0\\u269{}i\\uc0\\u363{}t\\uc0\\u279{}, 46.","plainCitation":"Sipavičienė, Jeršovas, and Stankevičiūtė, 46.","noteIndex":213},"citationItems":[{"id":1315,"uris":["http://zotero.org/users/1614103/items/Z7ASCALD"],"uri":["http://zotero.org/users/1614103/items/Z7ASCALD"],"itemData":{"id":1315,"type":"report","title":"Verslo ir investicijų pritraukimas į Lietuvą: migracijos ir migracijos politikos vaidmuo [Attracting business and investment into Lithuania: the role of migration and migration politics]","publisher":"European Migration Network, IOM Vilnius Office","URL":"http://emn.lt/wp-content/uploads/2015/10/Verslo-ir-investicij%C5%B3-pritraukimas-%C4%AF-Lietuv%C4%85.pdf","author":[{"family":"Sipavičienė","given":"Audra"},{"family":"Jeršovas","given":"Mantas"},{"family":"Stankevičiūtė","given":"Agnė"}],"issued":{"date-parts":[["2015"]]},"accessed":{"date-parts":[["2018",2,27]]}},"locator":"46"}],"schema":"https://github.com/citation-style-language/schema/raw/master/csl-citation.json"} </w:instrText>
      </w:r>
      <w:r w:rsidRPr="009F3034">
        <w:rPr>
          <w:szCs w:val="18"/>
        </w:rPr>
        <w:fldChar w:fldCharType="separate"/>
      </w:r>
      <w:r w:rsidRPr="009F3034">
        <w:rPr>
          <w:szCs w:val="18"/>
        </w:rPr>
        <w:t>Sipavičienė, Jeršovas, and Stankevičiūtė, 46.</w:t>
      </w:r>
      <w:r w:rsidRPr="009F3034">
        <w:rPr>
          <w:szCs w:val="18"/>
        </w:rPr>
        <w:fldChar w:fldCharType="end"/>
      </w:r>
    </w:p>
  </w:footnote>
  <w:footnote w:id="229">
    <w:p w14:paraId="7FF887A9" w14:textId="2F9C2AB2"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w:t>
      </w:r>
      <w:r w:rsidRPr="009F3034">
        <w:rPr>
          <w:szCs w:val="18"/>
        </w:rPr>
        <w:fldChar w:fldCharType="begin"/>
      </w:r>
      <w:r w:rsidRPr="009F3034">
        <w:rPr>
          <w:szCs w:val="18"/>
        </w:rPr>
        <w:instrText xml:space="preserve"> ADDIN ZOTERO_ITEM CSL_CITATION {"citationID":"f11UnsPn","properties":{"formattedCitation":"Ministry of the Interior, \\uc0\\u8220{}Si\\uc0\\u363{}loma migracijos funkcij\\uc0\\u371{} pertvarka ir konsolidavimas [The Proposal for Restructuring and Consolidation of Migration Functions],\\uc0\\u8221{} accessed March 18, 2018, http://vrm.lrv.lt/lt/naujienos/siuloma-migracijos-funkciju-pertvarka-ir-konsolidavimas.","plainCitation":"Ministry of the Interior, “Siūloma migracijos funkcijų pertvarka ir konsolidavimas [The Proposal for Restructuring and Consolidation of Migration Functions],” accessed March 18, 2018, http://vrm.lrv.lt/lt/naujienos/siuloma-migracijos-funkciju-pertvarka-ir-konsolidavimas.","noteIndex":225},"citationItems":[{"id":1369,"uris":["http://zotero.org/users/1614103/items/QESPS6ED"],"uri":["http://zotero.org/users/1614103/items/QESPS6ED"],"itemData":{"id":1369,"type":"webpage","title":"Siūloma migracijos funkcijų pertvarka ir konsolidavimas [The Proposal for Restructuring and Consolidation of Migration Functions]","abstract":"Kovo 14 d. Vidaus reikalų ministerija Vyriausybei pristatys migracijos funkcijų pertvarkos projektą. Ministrų kabinetui bus teikiamas pasiūlymas konsoliduoti migracijos funkcijas, o žemo lygio...","URL":"http://vrm.lrv.lt/lt/naujienos/siuloma-migracijos-funkciju-pertvarka-ir-konsolidavimas","language":"lt","author":[{"family":"Ministry of the Interior","given":""}],"accessed":{"date-parts":[["2018",3,18]]}}}],"schema":"https://github.com/citation-style-language/schema/raw/master/csl-citation.json"} </w:instrText>
      </w:r>
      <w:r w:rsidRPr="009F3034">
        <w:rPr>
          <w:szCs w:val="18"/>
        </w:rPr>
        <w:fldChar w:fldCharType="separate"/>
      </w:r>
      <w:r w:rsidRPr="009F3034">
        <w:rPr>
          <w:szCs w:val="18"/>
        </w:rPr>
        <w:t>Ministry of the Interior, “Siūloma migracijos funkcijų pertvarka ir konsolidavimas [The Proposal for Restructuring and Consolidation of Migration Functions],” accessed March 18, 2018, http://vrm.lrv.lt/lt/naujienos/siuloma-migracijos-funkciju-pertvarka-ir-konsolidavimas.</w:t>
      </w:r>
      <w:r w:rsidRPr="009F3034">
        <w:rPr>
          <w:szCs w:val="18"/>
        </w:rPr>
        <w:fldChar w:fldCharType="end"/>
      </w:r>
    </w:p>
  </w:footnote>
  <w:footnote w:id="230">
    <w:p w14:paraId="118DAC07" w14:textId="2EA39002"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w:t>
      </w:r>
      <w:r w:rsidRPr="009F3034">
        <w:rPr>
          <w:szCs w:val="18"/>
        </w:rPr>
        <w:fldChar w:fldCharType="begin"/>
      </w:r>
      <w:r w:rsidRPr="009F3034">
        <w:rPr>
          <w:szCs w:val="18"/>
        </w:rPr>
        <w:instrText xml:space="preserve"> ADDIN ZOTERO_ITEM CSL_CITATION {"citationID":"JsQyqKnR","properties":{"formattedCitation":"Dovaidas Pabir\\uc0\\u382{}is, \\uc0\\u8220{}Vyriausyb\\uc0\\u279{} pritaria migracijos sistemos reformai,\\uc0\\u8221{} vz.lt, accessed May 15, 2018, https://www.vz.lt/verslo-aplinka/2018/03/21/vyriausybe-pritaria-migracijos-sistemos-reformai.","plainCitation":"Dovaidas Pabiržis, “Vyriausybė pritaria migracijos sistemos reformai,” vz.lt, accessed May 15, 2018, https://www.vz.lt/verslo-aplinka/2018/03/21/vyriausybe-pritaria-migracijos-sistemos-reformai.","noteIndex":226},"citationItems":[{"id":1507,"uris":["http://zotero.org/users/1614103/items/GXFTV67J"],"uri":["http://zotero.org/users/1614103/items/GXFTV67J"],"itemData":{"id":1507,"type":"webpage","title":"Vyriausybė pritaria migracijos sistemos reformai","container-title":"vz.lt","abstract":"Vidaus reikalų ministerijos pateikta migracijos sistemos pertvarka, pagal kurią po vienu stogu yra sujungiamos įvairios institucijos, atsakingos už šią sritį, susilaukė palaikymo Vyriausybėje.","URL":"https://www.vz.lt/verslo-aplinka/2018/03/21/vyriausybe-pritaria-migracijos-sistemos-reformai","language":"lt","author":[{"family":"Pabiržis","given":"Dovaidas"}],"accessed":{"date-parts":[["2018",5,15]]}}}],"schema":"https://github.com/citation-style-language/schema/raw/master/csl-citation.json"} </w:instrText>
      </w:r>
      <w:r w:rsidRPr="009F3034">
        <w:rPr>
          <w:szCs w:val="18"/>
        </w:rPr>
        <w:fldChar w:fldCharType="separate"/>
      </w:r>
      <w:r w:rsidRPr="009F3034">
        <w:rPr>
          <w:szCs w:val="18"/>
        </w:rPr>
        <w:t>Dovaidas Pabiržis, “Vyriausybė pritaria migracijos sistemos reformai,” vz.lt, accessed May 15, 2018, https://www.vz.lt/verslo-aplinka/2018/03/21/vyriausybe-pritaria-migracijos-sistemos-reformai.</w:t>
      </w:r>
      <w:r w:rsidRPr="009F3034">
        <w:rPr>
          <w:szCs w:val="18"/>
        </w:rPr>
        <w:fldChar w:fldCharType="end"/>
      </w:r>
    </w:p>
  </w:footnote>
  <w:footnote w:id="231">
    <w:p w14:paraId="5E433CE9" w14:textId="4BFDC8E6"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w:t>
      </w:r>
      <w:r w:rsidRPr="009F3034">
        <w:rPr>
          <w:szCs w:val="18"/>
        </w:rPr>
        <w:fldChar w:fldCharType="begin"/>
      </w:r>
      <w:r w:rsidRPr="009F3034">
        <w:rPr>
          <w:szCs w:val="18"/>
        </w:rPr>
        <w:instrText xml:space="preserve"> ADDIN ZOTERO_ITEM CSL_CITATION {"citationID":"I7ExoGZ6","properties":{"formattedCitation":"Pabir\\uc0\\u382{}is.","plainCitation":"Pabiržis.","noteIndex":227},"citationItems":[{"id":1507,"uris":["http://zotero.org/users/1614103/items/GXFTV67J"],"uri":["http://zotero.org/users/1614103/items/GXFTV67J"],"itemData":{"id":1507,"type":"webpage","title":"Vyriausybė pritaria migracijos sistemos reformai","container-title":"vz.lt","abstract":"Vidaus reikalų ministerijos pateikta migracijos sistemos pertvarka, pagal kurią po vienu stogu yra sujungiamos įvairios institucijos, atsakingos už šią sritį, susilaukė palaikymo Vyriausybėje.","URL":"https://www.vz.lt/verslo-aplinka/2018/03/21/vyriausybe-pritaria-migracijos-sistemos-reformai","language":"lt","author":[{"family":"Pabiržis","given":"Dovaidas"}],"accessed":{"date-parts":[["2018",5,15]]}}}],"schema":"https://github.com/citation-style-language/schema/raw/master/csl-citation.json"} </w:instrText>
      </w:r>
      <w:r w:rsidRPr="009F3034">
        <w:rPr>
          <w:szCs w:val="18"/>
        </w:rPr>
        <w:fldChar w:fldCharType="separate"/>
      </w:r>
      <w:r w:rsidRPr="009F3034">
        <w:rPr>
          <w:szCs w:val="18"/>
        </w:rPr>
        <w:t>Pabiržis.</w:t>
      </w:r>
      <w:r w:rsidRPr="009F3034">
        <w:rPr>
          <w:szCs w:val="18"/>
        </w:rPr>
        <w:fldChar w:fldCharType="end"/>
      </w:r>
    </w:p>
  </w:footnote>
  <w:footnote w:id="232">
    <w:p w14:paraId="7C795FCB" w14:textId="35B1338C"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Information with the Migration Department; competent authority on migration issues; 28 February 2018. See also </w:t>
      </w:r>
      <w:r w:rsidRPr="009F3034">
        <w:rPr>
          <w:szCs w:val="18"/>
        </w:rPr>
        <w:fldChar w:fldCharType="begin"/>
      </w:r>
      <w:r w:rsidRPr="009F3034">
        <w:rPr>
          <w:szCs w:val="18"/>
        </w:rPr>
        <w:instrText xml:space="preserve"> ADDIN ZOTERO_ITEM CSL_CITATION {"citationID":"uCFFgX8p","properties":{"formattedCitation":"\\uc0\\u8220{}Migration Department - News: Migracijos Paslaug\\uc0\\u371{} Kokybei Gerinti \\uc0\\u8211{} Lietuvos Migracijos Informacin\\uc0\\u279{} Sistema,\\uc0\\u8221{} accessed March 15, 2018, http://www.migracija.lt/index.php?680995707.","plainCitation":"“Migration Department - News: Migracijos Paslaugų Kokybei Gerinti – Lietuvos Migracijos Informacinė Sistema,” accessed March 15, 2018, http://www.migracija.lt/index.php?680995707.","noteIndex":228},"citationItems":[{"id":1361,"uris":["http://zotero.org/users/1614103/items/M6MMDDDX"],"uri":["http://zotero.org/users/1614103/items/M6MMDDDX"],"itemData":{"id":1361,"type":"webpage","title":"Migration Department - News: Migracijos paslaugų kokybei gerinti – Lietuvos migracijos informacinė sistema","URL":"http://www.migracija.lt/index.php?680995707","accessed":{"date-parts":[["2018",3,15]]}}}],"schema":"https://github.com/citation-style-language/schema/raw/master/csl-citation.json"} </w:instrText>
      </w:r>
      <w:r w:rsidRPr="009F3034">
        <w:rPr>
          <w:szCs w:val="18"/>
        </w:rPr>
        <w:fldChar w:fldCharType="separate"/>
      </w:r>
      <w:r w:rsidRPr="009F3034">
        <w:rPr>
          <w:szCs w:val="18"/>
        </w:rPr>
        <w:t>“Migration Department - News: Migracijos Paslaugų Kokybei Gerinti – Lietuvos Migracijos Informacinė Sistema,” accessed March 15, 2018, http://www.migracija.lt/index.php?680995707.</w:t>
      </w:r>
      <w:r w:rsidRPr="009F3034">
        <w:rPr>
          <w:szCs w:val="18"/>
        </w:rPr>
        <w:fldChar w:fldCharType="end"/>
      </w:r>
    </w:p>
  </w:footnote>
  <w:footnote w:id="233">
    <w:p w14:paraId="575CE342" w14:textId="06EB9866" w:rsidR="009F3034" w:rsidRPr="009F3034" w:rsidRDefault="009F3034" w:rsidP="009F3034">
      <w:pPr>
        <w:pStyle w:val="FootnoteText"/>
        <w:jc w:val="left"/>
        <w:rPr>
          <w:szCs w:val="18"/>
        </w:rPr>
      </w:pPr>
      <w:r w:rsidRPr="009F3034">
        <w:rPr>
          <w:rStyle w:val="FootnoteReference"/>
          <w:szCs w:val="18"/>
        </w:rPr>
        <w:footnoteRef/>
      </w:r>
      <w:r w:rsidRPr="009F3034">
        <w:rPr>
          <w:szCs w:val="18"/>
        </w:rPr>
        <w:t xml:space="preserve"> </w:t>
      </w:r>
      <w:r w:rsidRPr="009F3034">
        <w:rPr>
          <w:szCs w:val="18"/>
        </w:rPr>
        <w:fldChar w:fldCharType="begin"/>
      </w:r>
      <w:r w:rsidRPr="009F3034">
        <w:rPr>
          <w:szCs w:val="18"/>
        </w:rPr>
        <w:instrText xml:space="preserve"> ADDIN ZOTERO_ITEM CSL_CITATION {"citationID":"W9anqPeV","properties":{"formattedCitation":"National Audit Office of Lithuania, \\uc0\\u8220{}I\\uc0\\u353{}ankstinio Tyrimo Ataskaita: Immigracijos Proces\\uc0\\u371{} Valdymas [Preliminary Findings: Administration of Immigration Processes].\\uc0\\u8221{}","plainCitation":"National Audit Office of Lithuania, “Išankstinio Tyrimo Ataskaita: Immigracijos Procesų Valdymas [Preliminary Findings: Administration of Immigration Processes].”","noteIndex":207},"citationItems":[{"id":1326,"uris":["http://zotero.org/users/1614103/items/42S7A7EJ"],"uri":["http://zotero.org/users/1614103/items/42S7A7EJ"],"itemData":{"id":1326,"type":"report","title":"Išankstinio tyrimo ataskaita: Immigracijos procesų valdymas [Preliminary findings: Administration of Immigration processes]","publisher":"Valstybės Kontrolė","publisher-place":"Vilnius","event-place":"Vilnius","URL":"https://www.vkontrole.lt/failas.aspx?id=3327","author":[{"family":"National Audit Office of Lithuania","given":""}],"issued":{"date-parts":[["2015"]]},"accessed":{"date-parts":[["2018",3,5]]}}}],"schema":"https://github.com/citation-style-language/schema/raw/master/csl-citation.json"} </w:instrText>
      </w:r>
      <w:r w:rsidRPr="009F3034">
        <w:rPr>
          <w:szCs w:val="18"/>
        </w:rPr>
        <w:fldChar w:fldCharType="separate"/>
      </w:r>
      <w:r w:rsidRPr="009F3034">
        <w:rPr>
          <w:szCs w:val="18"/>
        </w:rPr>
        <w:t>National Audit Office of Lithuania, “Išankstinio Tyrimo Ataskaita: Immigracijos Procesų Valdymas [Preliminary Findings: Administration of Immigration Processes].”</w:t>
      </w:r>
      <w:r w:rsidRPr="009F3034">
        <w:rPr>
          <w:szCs w:val="18"/>
        </w:rPr>
        <w:fldChar w:fldCharType="end"/>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0EF9E4" w14:textId="77777777" w:rsidR="009F3034" w:rsidRPr="00D65D3B" w:rsidRDefault="009F3034" w:rsidP="00204BA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AD6BBA"/>
    <w:multiLevelType w:val="hybridMultilevel"/>
    <w:tmpl w:val="ED963C34"/>
    <w:lvl w:ilvl="0" w:tplc="CBBC96A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09361F2A"/>
    <w:multiLevelType w:val="hybridMultilevel"/>
    <w:tmpl w:val="B586501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nsid w:val="0F7F1E9C"/>
    <w:multiLevelType w:val="hybridMultilevel"/>
    <w:tmpl w:val="E4123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0FB41B96"/>
    <w:multiLevelType w:val="multilevel"/>
    <w:tmpl w:val="C4E2BA8C"/>
    <w:lvl w:ilvl="0">
      <w:start w:val="1"/>
      <w:numFmt w:val="decimal"/>
      <w:pStyle w:val="MH1"/>
      <w:lvlText w:val="%1"/>
      <w:lvlJc w:val="left"/>
      <w:pPr>
        <w:tabs>
          <w:tab w:val="num" w:pos="432"/>
        </w:tabs>
        <w:ind w:left="432" w:hanging="432"/>
      </w:pPr>
      <w:rPr>
        <w:rFonts w:ascii="Century Gothic" w:hAnsi="Century Gothic" w:hint="default"/>
        <w:b/>
        <w:bCs/>
        <w:i w:val="0"/>
        <w:iCs w:val="0"/>
        <w:caps/>
        <w:strike w:val="0"/>
        <w:dstrike w:val="0"/>
        <w:vanish w:val="0"/>
        <w:color w:val="auto"/>
        <w:spacing w:val="0"/>
        <w:w w:val="100"/>
        <w:kern w:val="0"/>
        <w:position w:val="0"/>
        <w:sz w:val="24"/>
        <w:szCs w:val="24"/>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MH2"/>
      <w:lvlText w:val="%1.%2"/>
      <w:lvlJc w:val="left"/>
      <w:pPr>
        <w:tabs>
          <w:tab w:val="num" w:pos="576"/>
        </w:tabs>
        <w:ind w:left="576" w:hanging="576"/>
      </w:pPr>
      <w:rPr>
        <w:rFonts w:ascii="Century Gothic" w:hAnsi="Century Gothic" w:hint="default"/>
        <w:i w:val="0"/>
        <w:sz w:val="22"/>
        <w:szCs w:val="22"/>
      </w:rPr>
    </w:lvl>
    <w:lvl w:ilvl="2">
      <w:start w:val="1"/>
      <w:numFmt w:val="decimal"/>
      <w:pStyle w:val="MH3"/>
      <w:lvlText w:val="%1.%2.%3"/>
      <w:lvlJc w:val="left"/>
      <w:pPr>
        <w:tabs>
          <w:tab w:val="num" w:pos="720"/>
        </w:tabs>
        <w:ind w:left="720" w:hanging="720"/>
      </w:pPr>
      <w:rPr>
        <w:rFonts w:ascii="Century Gothic" w:hAnsi="Century Gothic" w:hint="default"/>
        <w:sz w:val="22"/>
        <w:szCs w:val="22"/>
      </w:rPr>
    </w:lvl>
    <w:lvl w:ilvl="3">
      <w:start w:val="1"/>
      <w:numFmt w:val="decimal"/>
      <w:pStyle w:val="MH4"/>
      <w:lvlText w:val="%1.%2.%3.%4"/>
      <w:lvlJc w:val="left"/>
      <w:pPr>
        <w:tabs>
          <w:tab w:val="num" w:pos="1764"/>
        </w:tabs>
        <w:ind w:left="17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nsid w:val="11F50AC6"/>
    <w:multiLevelType w:val="multilevel"/>
    <w:tmpl w:val="F6FE2D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4F116E9"/>
    <w:multiLevelType w:val="hybridMultilevel"/>
    <w:tmpl w:val="445C0C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1A55616B"/>
    <w:multiLevelType w:val="hybridMultilevel"/>
    <w:tmpl w:val="C4CE84A4"/>
    <w:lvl w:ilvl="0" w:tplc="08090013">
      <w:start w:val="1"/>
      <w:numFmt w:val="upperRoman"/>
      <w:lvlText w:val="%1."/>
      <w:lvlJc w:val="right"/>
      <w:pPr>
        <w:ind w:left="720" w:hanging="360"/>
      </w:pPr>
    </w:lvl>
    <w:lvl w:ilvl="1" w:tplc="F04E8332">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1B7462D7"/>
    <w:multiLevelType w:val="hybridMultilevel"/>
    <w:tmpl w:val="5E1A8A9A"/>
    <w:lvl w:ilvl="0" w:tplc="FD52C828">
      <w:start w:val="1"/>
      <w:numFmt w:val="bullet"/>
      <w:lvlText w:val=""/>
      <w:lvlJc w:val="left"/>
      <w:pPr>
        <w:ind w:left="720" w:hanging="360"/>
      </w:pPr>
      <w:rPr>
        <w:rFonts w:ascii="Wingdings" w:hAnsi="Wingdings" w:hint="default"/>
        <w:b w:val="0"/>
        <w:i w:val="0"/>
        <w:color w:val="7AB800" w:themeColor="text2"/>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ED91F1C"/>
    <w:multiLevelType w:val="hybridMultilevel"/>
    <w:tmpl w:val="6CEC0BEA"/>
    <w:lvl w:ilvl="0" w:tplc="08090015">
      <w:start w:val="1"/>
      <w:numFmt w:val="bullet"/>
      <w:lvlText w:val=""/>
      <w:lvlJc w:val="left"/>
      <w:pPr>
        <w:ind w:left="720" w:hanging="360"/>
      </w:pPr>
      <w:rPr>
        <w:rFonts w:ascii="Wingdings" w:hAnsi="Wingdings" w:hint="default"/>
        <w:b w:val="0"/>
        <w:i w:val="0"/>
        <w:color w:val="4F81BD"/>
        <w:sz w:val="16"/>
        <w:u w:color="00008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9">
    <w:nsid w:val="22623802"/>
    <w:multiLevelType w:val="hybridMultilevel"/>
    <w:tmpl w:val="B246989E"/>
    <w:lvl w:ilvl="0" w:tplc="08090015">
      <w:start w:val="1"/>
      <w:numFmt w:val="bullet"/>
      <w:lvlText w:val=""/>
      <w:lvlJc w:val="left"/>
      <w:pPr>
        <w:ind w:left="360" w:hanging="360"/>
      </w:pPr>
      <w:rPr>
        <w:rFonts w:ascii="Wingdings" w:hAnsi="Wingdings" w:hint="default"/>
        <w:b w:val="0"/>
        <w:i w:val="0"/>
        <w:color w:val="4F81BD"/>
        <w:sz w:val="16"/>
        <w:u w:color="00008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nsid w:val="276A35AF"/>
    <w:multiLevelType w:val="hybridMultilevel"/>
    <w:tmpl w:val="B6963A40"/>
    <w:lvl w:ilvl="0" w:tplc="08090015">
      <w:start w:val="1"/>
      <w:numFmt w:val="bullet"/>
      <w:lvlText w:val=""/>
      <w:lvlJc w:val="left"/>
      <w:pPr>
        <w:ind w:left="360" w:hanging="360"/>
      </w:pPr>
      <w:rPr>
        <w:rFonts w:ascii="Wingdings" w:hAnsi="Wingdings" w:hint="default"/>
        <w:b w:val="0"/>
        <w:i w:val="0"/>
        <w:color w:val="4F81BD"/>
        <w:sz w:val="16"/>
        <w:u w:color="000080"/>
      </w:rPr>
    </w:lvl>
    <w:lvl w:ilvl="1" w:tplc="08090003">
      <w:start w:val="1"/>
      <w:numFmt w:val="bullet"/>
      <w:lvlText w:val="o"/>
      <w:lvlJc w:val="left"/>
      <w:pPr>
        <w:ind w:left="1080" w:hanging="360"/>
      </w:pPr>
      <w:rPr>
        <w:rFonts w:ascii="Courier New" w:hAnsi="Courier New" w:cs="Courier New" w:hint="default"/>
      </w:rPr>
    </w:lvl>
    <w:lvl w:ilvl="2" w:tplc="02A6EB82">
      <w:numFmt w:val="bullet"/>
      <w:lvlText w:val="•"/>
      <w:lvlJc w:val="left"/>
      <w:pPr>
        <w:ind w:left="2148" w:hanging="708"/>
      </w:pPr>
      <w:rPr>
        <w:rFonts w:ascii="Times New Roman" w:eastAsia="Times New Roman" w:hAnsi="Times New Roman" w:cs="Times New Roman"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nsid w:val="2E802CF5"/>
    <w:multiLevelType w:val="multilevel"/>
    <w:tmpl w:val="6E648792"/>
    <w:styleLink w:val="MilieuList"/>
    <w:lvl w:ilvl="0">
      <w:start w:val="1"/>
      <w:numFmt w:val="bullet"/>
      <w:lvlText w:val=""/>
      <w:lvlJc w:val="left"/>
      <w:pPr>
        <w:ind w:left="425" w:hanging="425"/>
      </w:pPr>
      <w:rPr>
        <w:rFonts w:ascii="Wingdings" w:hAnsi="Wingdings" w:hint="default"/>
        <w:caps w:val="0"/>
        <w:strike w:val="0"/>
        <w:dstrike w:val="0"/>
        <w:vanish w:val="0"/>
        <w:color w:val="7AB8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7AB800"/>
      </w:rPr>
    </w:lvl>
    <w:lvl w:ilvl="2">
      <w:start w:val="1"/>
      <w:numFmt w:val="bullet"/>
      <w:lvlText w:val=""/>
      <w:lvlJc w:val="left"/>
      <w:pPr>
        <w:tabs>
          <w:tab w:val="num" w:pos="1276"/>
        </w:tabs>
        <w:ind w:left="1276" w:hanging="425"/>
      </w:pPr>
      <w:rPr>
        <w:rFonts w:ascii="Wingdings" w:hAnsi="Wingdings" w:hint="default"/>
        <w:color w:val="7AB800"/>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2">
    <w:nsid w:val="30EB763A"/>
    <w:multiLevelType w:val="hybridMultilevel"/>
    <w:tmpl w:val="B9B04266"/>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342A7186"/>
    <w:multiLevelType w:val="hybridMultilevel"/>
    <w:tmpl w:val="D43ED2C2"/>
    <w:lvl w:ilvl="0" w:tplc="08090015">
      <w:start w:val="1"/>
      <w:numFmt w:val="bullet"/>
      <w:lvlText w:val=""/>
      <w:lvlJc w:val="left"/>
      <w:pPr>
        <w:ind w:left="360" w:hanging="360"/>
      </w:pPr>
      <w:rPr>
        <w:rFonts w:ascii="Wingdings" w:hAnsi="Wingdings" w:hint="default"/>
        <w:b w:val="0"/>
        <w:i w:val="0"/>
        <w:color w:val="4F81BD"/>
        <w:sz w:val="16"/>
        <w:u w:color="000080"/>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nsid w:val="382E7EA2"/>
    <w:multiLevelType w:val="hybridMultilevel"/>
    <w:tmpl w:val="C838CA94"/>
    <w:lvl w:ilvl="0" w:tplc="08090015">
      <w:start w:val="1"/>
      <w:numFmt w:val="bullet"/>
      <w:lvlText w:val=""/>
      <w:lvlJc w:val="left"/>
      <w:pPr>
        <w:ind w:left="360" w:hanging="360"/>
      </w:pPr>
      <w:rPr>
        <w:rFonts w:ascii="Wingdings" w:hAnsi="Wingdings" w:hint="default"/>
        <w:b w:val="0"/>
        <w:i w:val="0"/>
        <w:color w:val="4F81BD"/>
        <w:sz w:val="16"/>
        <w:u w:color="000080"/>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nsid w:val="3BD22741"/>
    <w:multiLevelType w:val="multilevel"/>
    <w:tmpl w:val="99FE3160"/>
    <w:lvl w:ilvl="0">
      <w:start w:val="1"/>
      <w:numFmt w:val="bullet"/>
      <w:pStyle w:val="MMultileveltable"/>
      <w:lvlText w:val=""/>
      <w:lvlJc w:val="left"/>
      <w:pPr>
        <w:ind w:left="605" w:hanging="425"/>
      </w:pPr>
      <w:rPr>
        <w:rFonts w:ascii="Wingdings" w:hAnsi="Wingdings" w:hint="default"/>
        <w:caps w:val="0"/>
        <w:strike w:val="0"/>
        <w:dstrike w:val="0"/>
        <w:vanish w:val="0"/>
        <w:color w:val="4F81BD" w:themeColor="accent1"/>
        <w:sz w:val="16"/>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4F81BD" w:themeColor="accent1"/>
      </w:rPr>
    </w:lvl>
    <w:lvl w:ilvl="2">
      <w:start w:val="1"/>
      <w:numFmt w:val="bullet"/>
      <w:lvlText w:val=""/>
      <w:lvlJc w:val="left"/>
      <w:pPr>
        <w:tabs>
          <w:tab w:val="num" w:pos="1276"/>
        </w:tabs>
        <w:ind w:left="1276" w:hanging="425"/>
      </w:pPr>
      <w:rPr>
        <w:rFonts w:ascii="Wingdings" w:hAnsi="Wingdings" w:hint="default"/>
        <w:color w:val="4F81BD" w:themeColor="accent1"/>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6">
    <w:nsid w:val="5CB011F2"/>
    <w:multiLevelType w:val="hybridMultilevel"/>
    <w:tmpl w:val="25D811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5D3C1934"/>
    <w:multiLevelType w:val="hybridMultilevel"/>
    <w:tmpl w:val="4EE64924"/>
    <w:lvl w:ilvl="0" w:tplc="08090015">
      <w:start w:val="1"/>
      <w:numFmt w:val="bullet"/>
      <w:lvlText w:val=""/>
      <w:lvlJc w:val="left"/>
      <w:pPr>
        <w:ind w:left="360" w:hanging="360"/>
      </w:pPr>
      <w:rPr>
        <w:rFonts w:ascii="Wingdings" w:hAnsi="Wingdings" w:hint="default"/>
        <w:b w:val="0"/>
        <w:i w:val="0"/>
        <w:color w:val="4F81BD"/>
        <w:sz w:val="16"/>
        <w:u w:color="00008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nsid w:val="63CC4D91"/>
    <w:multiLevelType w:val="multilevel"/>
    <w:tmpl w:val="AEF8E6AA"/>
    <w:lvl w:ilvl="0">
      <w:start w:val="1"/>
      <w:numFmt w:val="decimal"/>
      <w:pStyle w:val="Heading1"/>
      <w:lvlText w:val="%1"/>
      <w:lvlJc w:val="left"/>
      <w:pPr>
        <w:tabs>
          <w:tab w:val="num" w:pos="432"/>
        </w:tabs>
        <w:ind w:left="432" w:hanging="432"/>
      </w:pPr>
      <w:rPr>
        <w:rFonts w:ascii="Century Gothic" w:hAnsi="Century Gothic" w:hint="default"/>
        <w:b/>
        <w:bCs/>
        <w:i w:val="0"/>
        <w:iCs w:val="0"/>
        <w:caps w:val="0"/>
        <w:smallCaps w:val="0"/>
        <w:strike w:val="0"/>
        <w:dstrike w:val="0"/>
        <w:color w:val="auto"/>
        <w:spacing w:val="0"/>
        <w:w w:val="100"/>
        <w:kern w:val="0"/>
        <w:position w:val="0"/>
        <w:sz w:val="24"/>
        <w:szCs w:val="24"/>
        <w:u w:val="none"/>
        <w:effect w:val="none"/>
        <w:bdr w:val="none" w:sz="0" w:space="0" w:color="auto"/>
        <w:shd w:val="clear" w:color="auto" w:fill="auto"/>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576"/>
        </w:tabs>
        <w:ind w:left="576" w:hanging="576"/>
      </w:pPr>
      <w:rPr>
        <w:rFonts w:ascii="Century Gothic" w:hAnsi="Century Gothic" w:hint="default"/>
        <w:i w:val="0"/>
        <w:sz w:val="22"/>
        <w:szCs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764"/>
        </w:tabs>
        <w:ind w:left="17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nsid w:val="67015C46"/>
    <w:multiLevelType w:val="hybridMultilevel"/>
    <w:tmpl w:val="6C4AAE18"/>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691D3C76"/>
    <w:multiLevelType w:val="hybridMultilevel"/>
    <w:tmpl w:val="5F584BE4"/>
    <w:lvl w:ilvl="0" w:tplc="040C0001">
      <w:start w:val="1"/>
      <w:numFmt w:val="bullet"/>
      <w:pStyle w:val="MMultilevelLis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21">
    <w:nsid w:val="6D936918"/>
    <w:multiLevelType w:val="hybridMultilevel"/>
    <w:tmpl w:val="F7CC1348"/>
    <w:lvl w:ilvl="0" w:tplc="08090015">
      <w:start w:val="1"/>
      <w:numFmt w:val="bullet"/>
      <w:lvlText w:val=""/>
      <w:lvlJc w:val="left"/>
      <w:pPr>
        <w:ind w:left="720" w:hanging="360"/>
      </w:pPr>
      <w:rPr>
        <w:rFonts w:ascii="Wingdings" w:hAnsi="Wingdings" w:hint="default"/>
        <w:b w:val="0"/>
        <w:i w:val="0"/>
        <w:color w:val="4F81BD"/>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75311C7D"/>
    <w:multiLevelType w:val="multilevel"/>
    <w:tmpl w:val="C4E2BA8C"/>
    <w:styleLink w:val="Style1"/>
    <w:lvl w:ilvl="0">
      <w:start w:val="1"/>
      <w:numFmt w:val="upperRoman"/>
      <w:lvlText w:val="%1"/>
      <w:lvlJc w:val="left"/>
      <w:pPr>
        <w:tabs>
          <w:tab w:val="num" w:pos="432"/>
        </w:tabs>
        <w:ind w:left="432" w:hanging="432"/>
      </w:pPr>
      <w:rPr>
        <w:rFonts w:ascii="Century Gothic" w:hAnsi="Century Gothic" w:hint="default"/>
        <w:b/>
        <w:bCs/>
        <w:i w:val="0"/>
        <w:iCs w:val="0"/>
        <w:caps/>
        <w:strike w:val="0"/>
        <w:dstrike w:val="0"/>
        <w:vanish w:val="0"/>
        <w:webHidden w:val="0"/>
        <w:color w:val="auto"/>
        <w:spacing w:val="0"/>
        <w:w w:val="100"/>
        <w:kern w:val="0"/>
        <w:position w:val="0"/>
        <w:sz w:val="24"/>
        <w:szCs w:val="24"/>
        <w:u w:val="none"/>
        <w:effect w:val="none"/>
        <w:vertAlign w:val="baseline"/>
        <w:em w:val="none"/>
        <w:specVanish w:val="0"/>
      </w:rPr>
    </w:lvl>
    <w:lvl w:ilvl="1">
      <w:start w:val="1"/>
      <w:numFmt w:val="decimal"/>
      <w:lvlText w:val="%1.%2"/>
      <w:lvlJc w:val="left"/>
      <w:pPr>
        <w:tabs>
          <w:tab w:val="num" w:pos="576"/>
        </w:tabs>
        <w:ind w:left="576" w:hanging="576"/>
      </w:pPr>
      <w:rPr>
        <w:rFonts w:ascii="Century Gothic" w:hAnsi="Century Gothic" w:hint="default"/>
        <w:i w:val="0"/>
        <w:sz w:val="22"/>
        <w:szCs w:val="22"/>
      </w:rPr>
    </w:lvl>
    <w:lvl w:ilvl="2">
      <w:start w:val="1"/>
      <w:numFmt w:val="decimal"/>
      <w:lvlText w:val="%1.%2.%3"/>
      <w:lvlJc w:val="left"/>
      <w:pPr>
        <w:tabs>
          <w:tab w:val="num" w:pos="720"/>
        </w:tabs>
        <w:ind w:left="720" w:hanging="720"/>
      </w:pPr>
      <w:rPr>
        <w:rFonts w:ascii="Century Gothic" w:hAnsi="Century Gothic" w:hint="default"/>
        <w:sz w:val="22"/>
        <w:szCs w:val="22"/>
      </w:rPr>
    </w:lvl>
    <w:lvl w:ilvl="3">
      <w:start w:val="1"/>
      <w:numFmt w:val="decimal"/>
      <w:lvlText w:val="%1.%2.%3.%4"/>
      <w:lvlJc w:val="left"/>
      <w:pPr>
        <w:tabs>
          <w:tab w:val="num" w:pos="1764"/>
        </w:tabs>
        <w:ind w:left="17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3">
    <w:nsid w:val="7B302A4C"/>
    <w:multiLevelType w:val="multilevel"/>
    <w:tmpl w:val="D7DA6AB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nsid w:val="7C01106A"/>
    <w:multiLevelType w:val="hybridMultilevel"/>
    <w:tmpl w:val="DE54FE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8"/>
  </w:num>
  <w:num w:numId="2">
    <w:abstractNumId w:val="20"/>
  </w:num>
  <w:num w:numId="3">
    <w:abstractNumId w:val="3"/>
  </w:num>
  <w:num w:numId="4">
    <w:abstractNumId w:val="11"/>
  </w:num>
  <w:num w:numId="5">
    <w:abstractNumId w:val="15"/>
  </w:num>
  <w:num w:numId="6">
    <w:abstractNumId w:val="7"/>
  </w:num>
  <w:num w:numId="7">
    <w:abstractNumId w:val="3"/>
  </w:num>
  <w:num w:numId="8">
    <w:abstractNumId w:val="22"/>
  </w:num>
  <w:num w:numId="9">
    <w:abstractNumId w:val="21"/>
  </w:num>
  <w:num w:numId="10">
    <w:abstractNumId w:val="6"/>
  </w:num>
  <w:num w:numId="1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
  </w:num>
  <w:num w:numId="13">
    <w:abstractNumId w:val="0"/>
  </w:num>
  <w:num w:numId="14">
    <w:abstractNumId w:val="14"/>
  </w:num>
  <w:num w:numId="15">
    <w:abstractNumId w:val="13"/>
  </w:num>
  <w:num w:numId="16">
    <w:abstractNumId w:val="9"/>
  </w:num>
  <w:num w:numId="17">
    <w:abstractNumId w:val="10"/>
  </w:num>
  <w:num w:numId="18">
    <w:abstractNumId w:val="17"/>
  </w:num>
  <w:num w:numId="19">
    <w:abstractNumId w:val="24"/>
  </w:num>
  <w:num w:numId="20">
    <w:abstractNumId w:val="2"/>
  </w:num>
  <w:num w:numId="21">
    <w:abstractNumId w:val="12"/>
  </w:num>
  <w:num w:numId="22">
    <w:abstractNumId w:val="23"/>
  </w:num>
  <w:num w:numId="2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8"/>
  </w:num>
  <w:num w:numId="30">
    <w:abstractNumId w:val="5"/>
  </w:num>
  <w:num w:numId="31">
    <w:abstractNumId w:val="16"/>
  </w:num>
  <w:num w:numId="32">
    <w:abstractNumId w:val="4"/>
  </w:num>
  <w:num w:numId="33">
    <w:abstractNumId w:val="19"/>
  </w:num>
  <w:num w:numId="34">
    <w:abstractNumId w:val="15"/>
  </w:num>
  <w:num w:numId="35">
    <w:abstractNumId w:val="15"/>
  </w:num>
  <w:num w:numId="36">
    <w:abstractNumId w:val="15"/>
  </w:num>
  <w:num w:numId="37">
    <w:abstractNumId w:val="15"/>
  </w:num>
  <w:num w:numId="38">
    <w:abstractNumId w:val="15"/>
  </w:num>
  <w:num w:numId="39">
    <w:abstractNumId w:val="15"/>
  </w:num>
  <w:num w:numId="40">
    <w:abstractNumId w:val="15"/>
  </w:num>
  <w:num w:numId="41">
    <w:abstractNumId w:val="15"/>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fr-BE" w:vendorID="64" w:dllVersion="6" w:nlCheck="1" w:checkStyle="0"/>
  <w:activeWritingStyle w:appName="MSWord" w:lang="en-GB" w:vendorID="64" w:dllVersion="6" w:nlCheck="1" w:checkStyle="0"/>
  <w:activeWritingStyle w:appName="MSWord" w:lang="en-US" w:vendorID="64" w:dllVersion="6" w:nlCheck="1" w:checkStyle="0"/>
  <w:activeWritingStyle w:appName="MSWord" w:lang="es-ES_tradnl" w:vendorID="64" w:dllVersion="6" w:nlCheck="1" w:checkStyle="0"/>
  <w:activeWritingStyle w:appName="MSWord" w:lang="es-ES" w:vendorID="64" w:dllVersion="6" w:nlCheck="1" w:checkStyle="0"/>
  <w:activeWritingStyle w:appName="MSWord" w:lang="en-GB" w:vendorID="64" w:dllVersion="0" w:nlCheck="1" w:checkStyle="0"/>
  <w:activeWritingStyle w:appName="MSWord" w:lang="en-US" w:vendorID="64" w:dllVersion="0" w:nlCheck="1" w:checkStyle="0"/>
  <w:activeWritingStyle w:appName="MSWord" w:lang="fr-BE" w:vendorID="64" w:dllVersion="0" w:nlCheck="1" w:checkStyle="0"/>
  <w:activeWritingStyle w:appName="MSWord" w:lang="es-ES" w:vendorID="64" w:dllVersion="0" w:nlCheck="1" w:checkStyle="0"/>
  <w:activeWritingStyle w:appName="MSWord" w:lang="es-ES_tradnl" w:vendorID="64" w:dllVersion="0" w:nlCheck="1" w:checkStyle="0"/>
  <w:activeWritingStyle w:appName="MSWord" w:lang="en-GB" w:vendorID="64" w:dllVersion="131078" w:nlCheck="1" w:checkStyle="0"/>
  <w:activeWritingStyle w:appName="MSWord" w:lang="en-US" w:vendorID="64" w:dllVersion="131078" w:nlCheck="1" w:checkStyle="0"/>
  <w:activeWritingStyle w:appName="MSWord" w:lang="fr-BE" w:vendorID="64" w:dllVersion="131078" w:nlCheck="1" w:checkStyle="0"/>
  <w:activeWritingStyle w:appName="MSWord" w:lang="es-ES" w:vendorID="64" w:dllVersion="131078" w:nlCheck="1" w:checkStyle="0"/>
  <w:activeWritingStyle w:appName="MSWord" w:lang="es-ES_tradnl"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54962"/>
    <w:rsid w:val="00000BAC"/>
    <w:rsid w:val="000013A2"/>
    <w:rsid w:val="00001F12"/>
    <w:rsid w:val="00001FA1"/>
    <w:rsid w:val="00003AEF"/>
    <w:rsid w:val="00004FF4"/>
    <w:rsid w:val="00006E0B"/>
    <w:rsid w:val="00010112"/>
    <w:rsid w:val="00010848"/>
    <w:rsid w:val="00010B85"/>
    <w:rsid w:val="00011363"/>
    <w:rsid w:val="0001137E"/>
    <w:rsid w:val="00011825"/>
    <w:rsid w:val="0001214D"/>
    <w:rsid w:val="00016BB9"/>
    <w:rsid w:val="000174E3"/>
    <w:rsid w:val="00017518"/>
    <w:rsid w:val="0001760D"/>
    <w:rsid w:val="0001799A"/>
    <w:rsid w:val="00021362"/>
    <w:rsid w:val="00022CB4"/>
    <w:rsid w:val="00022CCA"/>
    <w:rsid w:val="00022F71"/>
    <w:rsid w:val="00022FA3"/>
    <w:rsid w:val="0002369B"/>
    <w:rsid w:val="00023BF4"/>
    <w:rsid w:val="00023DE6"/>
    <w:rsid w:val="0002450D"/>
    <w:rsid w:val="000246FC"/>
    <w:rsid w:val="000250FE"/>
    <w:rsid w:val="00025E64"/>
    <w:rsid w:val="00027C5F"/>
    <w:rsid w:val="00030260"/>
    <w:rsid w:val="00030622"/>
    <w:rsid w:val="00030E8A"/>
    <w:rsid w:val="00031A5E"/>
    <w:rsid w:val="00033523"/>
    <w:rsid w:val="00033B4A"/>
    <w:rsid w:val="00033C0B"/>
    <w:rsid w:val="000348AB"/>
    <w:rsid w:val="000353C3"/>
    <w:rsid w:val="00035609"/>
    <w:rsid w:val="0003617B"/>
    <w:rsid w:val="00036A24"/>
    <w:rsid w:val="000370A6"/>
    <w:rsid w:val="00037885"/>
    <w:rsid w:val="00037D68"/>
    <w:rsid w:val="00037D7C"/>
    <w:rsid w:val="00040251"/>
    <w:rsid w:val="00040659"/>
    <w:rsid w:val="00040B07"/>
    <w:rsid w:val="0004214F"/>
    <w:rsid w:val="00042F15"/>
    <w:rsid w:val="00043B0E"/>
    <w:rsid w:val="000455DF"/>
    <w:rsid w:val="00045A8A"/>
    <w:rsid w:val="0004602D"/>
    <w:rsid w:val="00047102"/>
    <w:rsid w:val="00047CF6"/>
    <w:rsid w:val="000502C6"/>
    <w:rsid w:val="0005157D"/>
    <w:rsid w:val="00051808"/>
    <w:rsid w:val="00052016"/>
    <w:rsid w:val="000522FA"/>
    <w:rsid w:val="000523EE"/>
    <w:rsid w:val="00053B1D"/>
    <w:rsid w:val="00053CC7"/>
    <w:rsid w:val="00054955"/>
    <w:rsid w:val="00054A43"/>
    <w:rsid w:val="0005677D"/>
    <w:rsid w:val="00057B43"/>
    <w:rsid w:val="00057B6D"/>
    <w:rsid w:val="00057CC0"/>
    <w:rsid w:val="00057E7F"/>
    <w:rsid w:val="000607A1"/>
    <w:rsid w:val="000607F9"/>
    <w:rsid w:val="00061CD0"/>
    <w:rsid w:val="000630A7"/>
    <w:rsid w:val="000647AE"/>
    <w:rsid w:val="00066125"/>
    <w:rsid w:val="00067F47"/>
    <w:rsid w:val="0007096F"/>
    <w:rsid w:val="0007122D"/>
    <w:rsid w:val="00072072"/>
    <w:rsid w:val="00072CFC"/>
    <w:rsid w:val="00074625"/>
    <w:rsid w:val="00074F3F"/>
    <w:rsid w:val="00075201"/>
    <w:rsid w:val="000756B4"/>
    <w:rsid w:val="00076D49"/>
    <w:rsid w:val="000804A3"/>
    <w:rsid w:val="000811F0"/>
    <w:rsid w:val="000812E2"/>
    <w:rsid w:val="00081914"/>
    <w:rsid w:val="00082151"/>
    <w:rsid w:val="00082305"/>
    <w:rsid w:val="0008372C"/>
    <w:rsid w:val="000837C3"/>
    <w:rsid w:val="00084305"/>
    <w:rsid w:val="00084E98"/>
    <w:rsid w:val="00084F2B"/>
    <w:rsid w:val="000853F5"/>
    <w:rsid w:val="00085876"/>
    <w:rsid w:val="00085C75"/>
    <w:rsid w:val="00085D1A"/>
    <w:rsid w:val="00086917"/>
    <w:rsid w:val="00086FF4"/>
    <w:rsid w:val="00091586"/>
    <w:rsid w:val="000923CC"/>
    <w:rsid w:val="000949B0"/>
    <w:rsid w:val="00094A3F"/>
    <w:rsid w:val="000964B3"/>
    <w:rsid w:val="000A016B"/>
    <w:rsid w:val="000A0B51"/>
    <w:rsid w:val="000A1092"/>
    <w:rsid w:val="000A1326"/>
    <w:rsid w:val="000A177C"/>
    <w:rsid w:val="000A3E08"/>
    <w:rsid w:val="000A578E"/>
    <w:rsid w:val="000A6661"/>
    <w:rsid w:val="000A7788"/>
    <w:rsid w:val="000A7E1E"/>
    <w:rsid w:val="000B0F0A"/>
    <w:rsid w:val="000B1115"/>
    <w:rsid w:val="000B13E3"/>
    <w:rsid w:val="000B17A9"/>
    <w:rsid w:val="000B27BD"/>
    <w:rsid w:val="000B34B4"/>
    <w:rsid w:val="000B6F54"/>
    <w:rsid w:val="000B78A0"/>
    <w:rsid w:val="000C2425"/>
    <w:rsid w:val="000C2824"/>
    <w:rsid w:val="000C3447"/>
    <w:rsid w:val="000C3ADC"/>
    <w:rsid w:val="000C4900"/>
    <w:rsid w:val="000C507F"/>
    <w:rsid w:val="000C5216"/>
    <w:rsid w:val="000C59DD"/>
    <w:rsid w:val="000C6609"/>
    <w:rsid w:val="000C6D10"/>
    <w:rsid w:val="000C6D5A"/>
    <w:rsid w:val="000C6ECE"/>
    <w:rsid w:val="000C74BF"/>
    <w:rsid w:val="000D03A8"/>
    <w:rsid w:val="000D049E"/>
    <w:rsid w:val="000D0A53"/>
    <w:rsid w:val="000D0C64"/>
    <w:rsid w:val="000D1E45"/>
    <w:rsid w:val="000D24D9"/>
    <w:rsid w:val="000D2F8E"/>
    <w:rsid w:val="000D364F"/>
    <w:rsid w:val="000D63B4"/>
    <w:rsid w:val="000D6D9D"/>
    <w:rsid w:val="000D7CB8"/>
    <w:rsid w:val="000E0695"/>
    <w:rsid w:val="000E2C57"/>
    <w:rsid w:val="000E4326"/>
    <w:rsid w:val="000E4DFE"/>
    <w:rsid w:val="000E526C"/>
    <w:rsid w:val="000E57C3"/>
    <w:rsid w:val="000E5B23"/>
    <w:rsid w:val="000E5E21"/>
    <w:rsid w:val="000E7CB4"/>
    <w:rsid w:val="000F0DEF"/>
    <w:rsid w:val="000F1525"/>
    <w:rsid w:val="000F1882"/>
    <w:rsid w:val="000F285A"/>
    <w:rsid w:val="000F3783"/>
    <w:rsid w:val="000F3A60"/>
    <w:rsid w:val="000F4AC6"/>
    <w:rsid w:val="000F5188"/>
    <w:rsid w:val="000F668D"/>
    <w:rsid w:val="00100127"/>
    <w:rsid w:val="00100D9F"/>
    <w:rsid w:val="00101FA0"/>
    <w:rsid w:val="001037CE"/>
    <w:rsid w:val="00103DF5"/>
    <w:rsid w:val="001049BA"/>
    <w:rsid w:val="00104B7C"/>
    <w:rsid w:val="00104B96"/>
    <w:rsid w:val="00104FF2"/>
    <w:rsid w:val="00106488"/>
    <w:rsid w:val="00111056"/>
    <w:rsid w:val="0011214D"/>
    <w:rsid w:val="00112F13"/>
    <w:rsid w:val="00114973"/>
    <w:rsid w:val="00114D9C"/>
    <w:rsid w:val="00114E57"/>
    <w:rsid w:val="00117BAC"/>
    <w:rsid w:val="00117E24"/>
    <w:rsid w:val="00120042"/>
    <w:rsid w:val="001206F4"/>
    <w:rsid w:val="0012201A"/>
    <w:rsid w:val="00125682"/>
    <w:rsid w:val="00127048"/>
    <w:rsid w:val="00127FC3"/>
    <w:rsid w:val="0013035E"/>
    <w:rsid w:val="00130766"/>
    <w:rsid w:val="00130909"/>
    <w:rsid w:val="00131A89"/>
    <w:rsid w:val="0013236E"/>
    <w:rsid w:val="00133293"/>
    <w:rsid w:val="0013341B"/>
    <w:rsid w:val="00134A18"/>
    <w:rsid w:val="00134F72"/>
    <w:rsid w:val="001350D2"/>
    <w:rsid w:val="001356C3"/>
    <w:rsid w:val="001365F0"/>
    <w:rsid w:val="00136A4C"/>
    <w:rsid w:val="00136D25"/>
    <w:rsid w:val="001400DE"/>
    <w:rsid w:val="00144400"/>
    <w:rsid w:val="001445E4"/>
    <w:rsid w:val="00144BF6"/>
    <w:rsid w:val="00146AF1"/>
    <w:rsid w:val="00146D7F"/>
    <w:rsid w:val="00146F91"/>
    <w:rsid w:val="0014758E"/>
    <w:rsid w:val="001476EB"/>
    <w:rsid w:val="0014790E"/>
    <w:rsid w:val="00151CD6"/>
    <w:rsid w:val="00151CFB"/>
    <w:rsid w:val="001526CD"/>
    <w:rsid w:val="00152955"/>
    <w:rsid w:val="00152A18"/>
    <w:rsid w:val="00153C1F"/>
    <w:rsid w:val="00155967"/>
    <w:rsid w:val="00155C6E"/>
    <w:rsid w:val="001575AD"/>
    <w:rsid w:val="00157CCB"/>
    <w:rsid w:val="00160013"/>
    <w:rsid w:val="00160163"/>
    <w:rsid w:val="00160F94"/>
    <w:rsid w:val="001618AF"/>
    <w:rsid w:val="00161F7A"/>
    <w:rsid w:val="0016274B"/>
    <w:rsid w:val="001627DB"/>
    <w:rsid w:val="001629E7"/>
    <w:rsid w:val="00164721"/>
    <w:rsid w:val="00164EF3"/>
    <w:rsid w:val="00165BD0"/>
    <w:rsid w:val="0016609D"/>
    <w:rsid w:val="0016622E"/>
    <w:rsid w:val="00166263"/>
    <w:rsid w:val="001662D4"/>
    <w:rsid w:val="00167A11"/>
    <w:rsid w:val="00167D46"/>
    <w:rsid w:val="00170244"/>
    <w:rsid w:val="00170778"/>
    <w:rsid w:val="00170C39"/>
    <w:rsid w:val="0017138A"/>
    <w:rsid w:val="00171EBC"/>
    <w:rsid w:val="00173094"/>
    <w:rsid w:val="0017309F"/>
    <w:rsid w:val="00173F97"/>
    <w:rsid w:val="00174204"/>
    <w:rsid w:val="00174BF1"/>
    <w:rsid w:val="00175487"/>
    <w:rsid w:val="001757F4"/>
    <w:rsid w:val="0017712A"/>
    <w:rsid w:val="001771ED"/>
    <w:rsid w:val="00177566"/>
    <w:rsid w:val="001777FF"/>
    <w:rsid w:val="00180242"/>
    <w:rsid w:val="00181EFE"/>
    <w:rsid w:val="0018200A"/>
    <w:rsid w:val="00182293"/>
    <w:rsid w:val="00182510"/>
    <w:rsid w:val="00183DBA"/>
    <w:rsid w:val="00184920"/>
    <w:rsid w:val="00184BAF"/>
    <w:rsid w:val="00184BF3"/>
    <w:rsid w:val="00184C24"/>
    <w:rsid w:val="00185983"/>
    <w:rsid w:val="00192125"/>
    <w:rsid w:val="00192204"/>
    <w:rsid w:val="0019265C"/>
    <w:rsid w:val="0019372C"/>
    <w:rsid w:val="00193800"/>
    <w:rsid w:val="00193AF5"/>
    <w:rsid w:val="00194359"/>
    <w:rsid w:val="00194A21"/>
    <w:rsid w:val="00195065"/>
    <w:rsid w:val="0019607E"/>
    <w:rsid w:val="00196DC7"/>
    <w:rsid w:val="0019706E"/>
    <w:rsid w:val="001A0382"/>
    <w:rsid w:val="001A176D"/>
    <w:rsid w:val="001A2590"/>
    <w:rsid w:val="001A2820"/>
    <w:rsid w:val="001A2DE7"/>
    <w:rsid w:val="001A4866"/>
    <w:rsid w:val="001A540F"/>
    <w:rsid w:val="001A5FE4"/>
    <w:rsid w:val="001A71C8"/>
    <w:rsid w:val="001B0B66"/>
    <w:rsid w:val="001B161E"/>
    <w:rsid w:val="001B2A14"/>
    <w:rsid w:val="001B2F1E"/>
    <w:rsid w:val="001B3948"/>
    <w:rsid w:val="001B3A40"/>
    <w:rsid w:val="001B5293"/>
    <w:rsid w:val="001B53E2"/>
    <w:rsid w:val="001B57F4"/>
    <w:rsid w:val="001B5DC3"/>
    <w:rsid w:val="001B66BC"/>
    <w:rsid w:val="001B711B"/>
    <w:rsid w:val="001C0D41"/>
    <w:rsid w:val="001C1106"/>
    <w:rsid w:val="001C1E15"/>
    <w:rsid w:val="001C292B"/>
    <w:rsid w:val="001C30D2"/>
    <w:rsid w:val="001C368D"/>
    <w:rsid w:val="001C428C"/>
    <w:rsid w:val="001C6503"/>
    <w:rsid w:val="001C6582"/>
    <w:rsid w:val="001C69B4"/>
    <w:rsid w:val="001D050B"/>
    <w:rsid w:val="001D139A"/>
    <w:rsid w:val="001D1B39"/>
    <w:rsid w:val="001D28AA"/>
    <w:rsid w:val="001D3697"/>
    <w:rsid w:val="001D4E3B"/>
    <w:rsid w:val="001D4FD2"/>
    <w:rsid w:val="001D4FFC"/>
    <w:rsid w:val="001D6212"/>
    <w:rsid w:val="001D7D74"/>
    <w:rsid w:val="001D7DA5"/>
    <w:rsid w:val="001E114C"/>
    <w:rsid w:val="001E281D"/>
    <w:rsid w:val="001E28EF"/>
    <w:rsid w:val="001E6082"/>
    <w:rsid w:val="001F0937"/>
    <w:rsid w:val="001F14FD"/>
    <w:rsid w:val="001F1AD0"/>
    <w:rsid w:val="001F2613"/>
    <w:rsid w:val="001F2A02"/>
    <w:rsid w:val="001F3DDB"/>
    <w:rsid w:val="001F4D7D"/>
    <w:rsid w:val="001F65FE"/>
    <w:rsid w:val="001F6781"/>
    <w:rsid w:val="001F689D"/>
    <w:rsid w:val="001F7171"/>
    <w:rsid w:val="001F73B8"/>
    <w:rsid w:val="001F7BD1"/>
    <w:rsid w:val="00201BE1"/>
    <w:rsid w:val="0020229F"/>
    <w:rsid w:val="002023A7"/>
    <w:rsid w:val="002024C9"/>
    <w:rsid w:val="0020292F"/>
    <w:rsid w:val="00202E4B"/>
    <w:rsid w:val="002036CD"/>
    <w:rsid w:val="00204BA5"/>
    <w:rsid w:val="00204ECD"/>
    <w:rsid w:val="00205690"/>
    <w:rsid w:val="00205D7F"/>
    <w:rsid w:val="00206082"/>
    <w:rsid w:val="002060C0"/>
    <w:rsid w:val="00206196"/>
    <w:rsid w:val="0020634F"/>
    <w:rsid w:val="00206933"/>
    <w:rsid w:val="00207B65"/>
    <w:rsid w:val="00207CFD"/>
    <w:rsid w:val="002104D4"/>
    <w:rsid w:val="0021244D"/>
    <w:rsid w:val="00212777"/>
    <w:rsid w:val="00213133"/>
    <w:rsid w:val="00213B4C"/>
    <w:rsid w:val="00213C10"/>
    <w:rsid w:val="00213E3A"/>
    <w:rsid w:val="00214182"/>
    <w:rsid w:val="0021433C"/>
    <w:rsid w:val="00214D8E"/>
    <w:rsid w:val="00215399"/>
    <w:rsid w:val="002166F9"/>
    <w:rsid w:val="002178FE"/>
    <w:rsid w:val="00217A7C"/>
    <w:rsid w:val="00217C7F"/>
    <w:rsid w:val="002225DC"/>
    <w:rsid w:val="00222C31"/>
    <w:rsid w:val="00223F8C"/>
    <w:rsid w:val="00223FFA"/>
    <w:rsid w:val="00224913"/>
    <w:rsid w:val="00226047"/>
    <w:rsid w:val="00227718"/>
    <w:rsid w:val="00227A37"/>
    <w:rsid w:val="002312AB"/>
    <w:rsid w:val="002312BB"/>
    <w:rsid w:val="002319D6"/>
    <w:rsid w:val="002323F8"/>
    <w:rsid w:val="002346EF"/>
    <w:rsid w:val="00236317"/>
    <w:rsid w:val="002365D6"/>
    <w:rsid w:val="00236FCB"/>
    <w:rsid w:val="002371EC"/>
    <w:rsid w:val="0023733E"/>
    <w:rsid w:val="00237C4C"/>
    <w:rsid w:val="002404E3"/>
    <w:rsid w:val="0024053F"/>
    <w:rsid w:val="00240889"/>
    <w:rsid w:val="00241427"/>
    <w:rsid w:val="00241C35"/>
    <w:rsid w:val="00241E07"/>
    <w:rsid w:val="0024284F"/>
    <w:rsid w:val="0024335F"/>
    <w:rsid w:val="00244589"/>
    <w:rsid w:val="00244986"/>
    <w:rsid w:val="002461C6"/>
    <w:rsid w:val="0024637B"/>
    <w:rsid w:val="00247081"/>
    <w:rsid w:val="00247EAF"/>
    <w:rsid w:val="0025050F"/>
    <w:rsid w:val="0025058C"/>
    <w:rsid w:val="00251325"/>
    <w:rsid w:val="0025204C"/>
    <w:rsid w:val="00257F50"/>
    <w:rsid w:val="002604A2"/>
    <w:rsid w:val="0026093F"/>
    <w:rsid w:val="0026173E"/>
    <w:rsid w:val="002636C6"/>
    <w:rsid w:val="00263BB0"/>
    <w:rsid w:val="002640EA"/>
    <w:rsid w:val="00264C0D"/>
    <w:rsid w:val="0026509D"/>
    <w:rsid w:val="00265A19"/>
    <w:rsid w:val="002670E8"/>
    <w:rsid w:val="00270819"/>
    <w:rsid w:val="00270C12"/>
    <w:rsid w:val="002721B3"/>
    <w:rsid w:val="002724C3"/>
    <w:rsid w:val="002730E5"/>
    <w:rsid w:val="00274232"/>
    <w:rsid w:val="00274F60"/>
    <w:rsid w:val="00276061"/>
    <w:rsid w:val="00276407"/>
    <w:rsid w:val="00276435"/>
    <w:rsid w:val="0027732B"/>
    <w:rsid w:val="00280327"/>
    <w:rsid w:val="00280553"/>
    <w:rsid w:val="002805C2"/>
    <w:rsid w:val="002812DA"/>
    <w:rsid w:val="00281DE4"/>
    <w:rsid w:val="00282507"/>
    <w:rsid w:val="00282730"/>
    <w:rsid w:val="00282C44"/>
    <w:rsid w:val="00282D79"/>
    <w:rsid w:val="00282E22"/>
    <w:rsid w:val="002838DB"/>
    <w:rsid w:val="00283D09"/>
    <w:rsid w:val="00284777"/>
    <w:rsid w:val="00284E94"/>
    <w:rsid w:val="00284FB6"/>
    <w:rsid w:val="00285C69"/>
    <w:rsid w:val="0028607E"/>
    <w:rsid w:val="002860A4"/>
    <w:rsid w:val="0028618D"/>
    <w:rsid w:val="00286885"/>
    <w:rsid w:val="00287E74"/>
    <w:rsid w:val="002908E7"/>
    <w:rsid w:val="00290E3A"/>
    <w:rsid w:val="0029229A"/>
    <w:rsid w:val="0029305F"/>
    <w:rsid w:val="0029316E"/>
    <w:rsid w:val="00293A4E"/>
    <w:rsid w:val="002941FF"/>
    <w:rsid w:val="00294236"/>
    <w:rsid w:val="0029594E"/>
    <w:rsid w:val="00295E6E"/>
    <w:rsid w:val="00296FE4"/>
    <w:rsid w:val="002971B4"/>
    <w:rsid w:val="002975AE"/>
    <w:rsid w:val="00297B44"/>
    <w:rsid w:val="002A0F31"/>
    <w:rsid w:val="002A1A2A"/>
    <w:rsid w:val="002A2B37"/>
    <w:rsid w:val="002A2C89"/>
    <w:rsid w:val="002A2E46"/>
    <w:rsid w:val="002A3204"/>
    <w:rsid w:val="002A3211"/>
    <w:rsid w:val="002A511E"/>
    <w:rsid w:val="002A5AA2"/>
    <w:rsid w:val="002A638B"/>
    <w:rsid w:val="002A7342"/>
    <w:rsid w:val="002A7CC7"/>
    <w:rsid w:val="002A7DB1"/>
    <w:rsid w:val="002B0460"/>
    <w:rsid w:val="002B0464"/>
    <w:rsid w:val="002B3257"/>
    <w:rsid w:val="002B49C0"/>
    <w:rsid w:val="002B559E"/>
    <w:rsid w:val="002B5D09"/>
    <w:rsid w:val="002C0D94"/>
    <w:rsid w:val="002C0FC7"/>
    <w:rsid w:val="002C2EA2"/>
    <w:rsid w:val="002C5AC7"/>
    <w:rsid w:val="002C5CEF"/>
    <w:rsid w:val="002C72F1"/>
    <w:rsid w:val="002C7F87"/>
    <w:rsid w:val="002D23E8"/>
    <w:rsid w:val="002D252F"/>
    <w:rsid w:val="002D2E87"/>
    <w:rsid w:val="002D370D"/>
    <w:rsid w:val="002D37F6"/>
    <w:rsid w:val="002D3B90"/>
    <w:rsid w:val="002D3D92"/>
    <w:rsid w:val="002D4298"/>
    <w:rsid w:val="002D5AED"/>
    <w:rsid w:val="002D5CF9"/>
    <w:rsid w:val="002D6EDB"/>
    <w:rsid w:val="002D77E2"/>
    <w:rsid w:val="002E09B3"/>
    <w:rsid w:val="002E189C"/>
    <w:rsid w:val="002E1D9C"/>
    <w:rsid w:val="002E30BE"/>
    <w:rsid w:val="002E4701"/>
    <w:rsid w:val="002E513B"/>
    <w:rsid w:val="002E5934"/>
    <w:rsid w:val="002E68C5"/>
    <w:rsid w:val="002E7162"/>
    <w:rsid w:val="002E7ADA"/>
    <w:rsid w:val="002E7B2B"/>
    <w:rsid w:val="002F0288"/>
    <w:rsid w:val="002F129F"/>
    <w:rsid w:val="002F1EB4"/>
    <w:rsid w:val="002F2056"/>
    <w:rsid w:val="002F295A"/>
    <w:rsid w:val="002F3F49"/>
    <w:rsid w:val="002F4004"/>
    <w:rsid w:val="002F4E70"/>
    <w:rsid w:val="002F5A21"/>
    <w:rsid w:val="002F7396"/>
    <w:rsid w:val="002F7BA3"/>
    <w:rsid w:val="00300380"/>
    <w:rsid w:val="00300DE2"/>
    <w:rsid w:val="00302153"/>
    <w:rsid w:val="00302990"/>
    <w:rsid w:val="003029C8"/>
    <w:rsid w:val="00302B2E"/>
    <w:rsid w:val="003031AE"/>
    <w:rsid w:val="00303398"/>
    <w:rsid w:val="00303ADD"/>
    <w:rsid w:val="003048D8"/>
    <w:rsid w:val="00305CDA"/>
    <w:rsid w:val="00305F44"/>
    <w:rsid w:val="003065BE"/>
    <w:rsid w:val="003077C5"/>
    <w:rsid w:val="00307D71"/>
    <w:rsid w:val="00310ACD"/>
    <w:rsid w:val="00310B03"/>
    <w:rsid w:val="00310B3F"/>
    <w:rsid w:val="003113A6"/>
    <w:rsid w:val="003118B3"/>
    <w:rsid w:val="00312A63"/>
    <w:rsid w:val="003139D6"/>
    <w:rsid w:val="00313B0D"/>
    <w:rsid w:val="00314841"/>
    <w:rsid w:val="003149C9"/>
    <w:rsid w:val="003161FA"/>
    <w:rsid w:val="00316276"/>
    <w:rsid w:val="00316A26"/>
    <w:rsid w:val="003204AA"/>
    <w:rsid w:val="0032138D"/>
    <w:rsid w:val="00322C92"/>
    <w:rsid w:val="00323133"/>
    <w:rsid w:val="00323969"/>
    <w:rsid w:val="00324000"/>
    <w:rsid w:val="00324065"/>
    <w:rsid w:val="00324FF5"/>
    <w:rsid w:val="00325106"/>
    <w:rsid w:val="003266A6"/>
    <w:rsid w:val="00326D0B"/>
    <w:rsid w:val="003278E4"/>
    <w:rsid w:val="00327B65"/>
    <w:rsid w:val="00330A3A"/>
    <w:rsid w:val="0033253E"/>
    <w:rsid w:val="00332B3F"/>
    <w:rsid w:val="00333C5B"/>
    <w:rsid w:val="00334584"/>
    <w:rsid w:val="003346E2"/>
    <w:rsid w:val="00335218"/>
    <w:rsid w:val="003354D3"/>
    <w:rsid w:val="00335AA2"/>
    <w:rsid w:val="00335E45"/>
    <w:rsid w:val="00335FAC"/>
    <w:rsid w:val="0033688F"/>
    <w:rsid w:val="00336CF7"/>
    <w:rsid w:val="00337242"/>
    <w:rsid w:val="00337781"/>
    <w:rsid w:val="0034036C"/>
    <w:rsid w:val="003404C0"/>
    <w:rsid w:val="003412A5"/>
    <w:rsid w:val="0034175A"/>
    <w:rsid w:val="00341881"/>
    <w:rsid w:val="00342AEE"/>
    <w:rsid w:val="00342D9E"/>
    <w:rsid w:val="00343DBF"/>
    <w:rsid w:val="00344CFD"/>
    <w:rsid w:val="0034524B"/>
    <w:rsid w:val="0034536F"/>
    <w:rsid w:val="00345FBC"/>
    <w:rsid w:val="003473C6"/>
    <w:rsid w:val="0034799B"/>
    <w:rsid w:val="00351476"/>
    <w:rsid w:val="00351583"/>
    <w:rsid w:val="00351E21"/>
    <w:rsid w:val="003520D5"/>
    <w:rsid w:val="00353184"/>
    <w:rsid w:val="003532F9"/>
    <w:rsid w:val="00355316"/>
    <w:rsid w:val="00357EFA"/>
    <w:rsid w:val="00360478"/>
    <w:rsid w:val="00360E7D"/>
    <w:rsid w:val="00361139"/>
    <w:rsid w:val="0036127F"/>
    <w:rsid w:val="00361383"/>
    <w:rsid w:val="003617BB"/>
    <w:rsid w:val="00361C88"/>
    <w:rsid w:val="00362931"/>
    <w:rsid w:val="0036379E"/>
    <w:rsid w:val="00363832"/>
    <w:rsid w:val="003640C7"/>
    <w:rsid w:val="00364F93"/>
    <w:rsid w:val="0036531C"/>
    <w:rsid w:val="00365E48"/>
    <w:rsid w:val="00367325"/>
    <w:rsid w:val="00367B78"/>
    <w:rsid w:val="00370845"/>
    <w:rsid w:val="00371E1E"/>
    <w:rsid w:val="00372C8A"/>
    <w:rsid w:val="0037488D"/>
    <w:rsid w:val="003750D7"/>
    <w:rsid w:val="00375A18"/>
    <w:rsid w:val="00375DD3"/>
    <w:rsid w:val="0037675D"/>
    <w:rsid w:val="00376E4C"/>
    <w:rsid w:val="00377819"/>
    <w:rsid w:val="0038124A"/>
    <w:rsid w:val="00381A25"/>
    <w:rsid w:val="00381A9C"/>
    <w:rsid w:val="00381F9A"/>
    <w:rsid w:val="00383D42"/>
    <w:rsid w:val="00383EE6"/>
    <w:rsid w:val="00384C2B"/>
    <w:rsid w:val="00385590"/>
    <w:rsid w:val="0038725A"/>
    <w:rsid w:val="00387C01"/>
    <w:rsid w:val="00391DB2"/>
    <w:rsid w:val="00391E74"/>
    <w:rsid w:val="003926C8"/>
    <w:rsid w:val="00392A17"/>
    <w:rsid w:val="00393D19"/>
    <w:rsid w:val="00394625"/>
    <w:rsid w:val="0039467A"/>
    <w:rsid w:val="003948D2"/>
    <w:rsid w:val="00394CDE"/>
    <w:rsid w:val="00395AC5"/>
    <w:rsid w:val="00395DEC"/>
    <w:rsid w:val="003965C6"/>
    <w:rsid w:val="00396DC7"/>
    <w:rsid w:val="003970D2"/>
    <w:rsid w:val="00397149"/>
    <w:rsid w:val="0039765C"/>
    <w:rsid w:val="003976D1"/>
    <w:rsid w:val="0039776C"/>
    <w:rsid w:val="00397C50"/>
    <w:rsid w:val="00397EAD"/>
    <w:rsid w:val="003A0C9C"/>
    <w:rsid w:val="003A0E88"/>
    <w:rsid w:val="003A2369"/>
    <w:rsid w:val="003A26A1"/>
    <w:rsid w:val="003A3BB0"/>
    <w:rsid w:val="003A41E8"/>
    <w:rsid w:val="003A470B"/>
    <w:rsid w:val="003A4BB1"/>
    <w:rsid w:val="003A4F00"/>
    <w:rsid w:val="003A5721"/>
    <w:rsid w:val="003A59F3"/>
    <w:rsid w:val="003A78C7"/>
    <w:rsid w:val="003A7C83"/>
    <w:rsid w:val="003B11DE"/>
    <w:rsid w:val="003B25FE"/>
    <w:rsid w:val="003B3938"/>
    <w:rsid w:val="003B476B"/>
    <w:rsid w:val="003B5087"/>
    <w:rsid w:val="003B5432"/>
    <w:rsid w:val="003B59DC"/>
    <w:rsid w:val="003B6914"/>
    <w:rsid w:val="003B75D9"/>
    <w:rsid w:val="003B794E"/>
    <w:rsid w:val="003B7A83"/>
    <w:rsid w:val="003C0D12"/>
    <w:rsid w:val="003C1247"/>
    <w:rsid w:val="003C33D4"/>
    <w:rsid w:val="003C3955"/>
    <w:rsid w:val="003C671D"/>
    <w:rsid w:val="003C6F44"/>
    <w:rsid w:val="003C7200"/>
    <w:rsid w:val="003C7432"/>
    <w:rsid w:val="003C77F6"/>
    <w:rsid w:val="003D0394"/>
    <w:rsid w:val="003D14F0"/>
    <w:rsid w:val="003D19A1"/>
    <w:rsid w:val="003D2E86"/>
    <w:rsid w:val="003D3667"/>
    <w:rsid w:val="003D4353"/>
    <w:rsid w:val="003D45CE"/>
    <w:rsid w:val="003D609C"/>
    <w:rsid w:val="003D6D26"/>
    <w:rsid w:val="003D7051"/>
    <w:rsid w:val="003D70D8"/>
    <w:rsid w:val="003E0465"/>
    <w:rsid w:val="003E06EC"/>
    <w:rsid w:val="003E128C"/>
    <w:rsid w:val="003E26F1"/>
    <w:rsid w:val="003E369F"/>
    <w:rsid w:val="003E3986"/>
    <w:rsid w:val="003E3F83"/>
    <w:rsid w:val="003E42CB"/>
    <w:rsid w:val="003E4D03"/>
    <w:rsid w:val="003E6AC8"/>
    <w:rsid w:val="003E78EF"/>
    <w:rsid w:val="003F0423"/>
    <w:rsid w:val="003F270F"/>
    <w:rsid w:val="003F2B42"/>
    <w:rsid w:val="003F42A4"/>
    <w:rsid w:val="003F4F44"/>
    <w:rsid w:val="003F4FBD"/>
    <w:rsid w:val="003F4FC9"/>
    <w:rsid w:val="003F5415"/>
    <w:rsid w:val="003F5DEB"/>
    <w:rsid w:val="003F61B9"/>
    <w:rsid w:val="003F652D"/>
    <w:rsid w:val="003F66C7"/>
    <w:rsid w:val="003F6797"/>
    <w:rsid w:val="003F76D6"/>
    <w:rsid w:val="00400DE5"/>
    <w:rsid w:val="00401450"/>
    <w:rsid w:val="00402495"/>
    <w:rsid w:val="00403321"/>
    <w:rsid w:val="00403450"/>
    <w:rsid w:val="00404AA6"/>
    <w:rsid w:val="00405C49"/>
    <w:rsid w:val="00406327"/>
    <w:rsid w:val="00411117"/>
    <w:rsid w:val="00411471"/>
    <w:rsid w:val="00412DBC"/>
    <w:rsid w:val="004138CB"/>
    <w:rsid w:val="004149AD"/>
    <w:rsid w:val="00415435"/>
    <w:rsid w:val="00415A1C"/>
    <w:rsid w:val="00416A12"/>
    <w:rsid w:val="004178C6"/>
    <w:rsid w:val="00417974"/>
    <w:rsid w:val="00421724"/>
    <w:rsid w:val="004225B0"/>
    <w:rsid w:val="00422AEE"/>
    <w:rsid w:val="004230FC"/>
    <w:rsid w:val="00423563"/>
    <w:rsid w:val="00423798"/>
    <w:rsid w:val="0042433B"/>
    <w:rsid w:val="00425944"/>
    <w:rsid w:val="00426472"/>
    <w:rsid w:val="0043028A"/>
    <w:rsid w:val="004305D4"/>
    <w:rsid w:val="00430744"/>
    <w:rsid w:val="00431346"/>
    <w:rsid w:val="00431AFF"/>
    <w:rsid w:val="00431BB0"/>
    <w:rsid w:val="00431C85"/>
    <w:rsid w:val="0043217E"/>
    <w:rsid w:val="004322FC"/>
    <w:rsid w:val="00432884"/>
    <w:rsid w:val="00432FB2"/>
    <w:rsid w:val="004333D0"/>
    <w:rsid w:val="00433940"/>
    <w:rsid w:val="00435171"/>
    <w:rsid w:val="004358F0"/>
    <w:rsid w:val="00436133"/>
    <w:rsid w:val="004364E1"/>
    <w:rsid w:val="00437377"/>
    <w:rsid w:val="00437A84"/>
    <w:rsid w:val="00437EC9"/>
    <w:rsid w:val="00440052"/>
    <w:rsid w:val="004411F7"/>
    <w:rsid w:val="00441F9B"/>
    <w:rsid w:val="00442005"/>
    <w:rsid w:val="00442AC7"/>
    <w:rsid w:val="00443157"/>
    <w:rsid w:val="00443857"/>
    <w:rsid w:val="004441E9"/>
    <w:rsid w:val="00444BAD"/>
    <w:rsid w:val="0044576C"/>
    <w:rsid w:val="00446A79"/>
    <w:rsid w:val="00446D5C"/>
    <w:rsid w:val="00450371"/>
    <w:rsid w:val="004505AD"/>
    <w:rsid w:val="00451778"/>
    <w:rsid w:val="004534E9"/>
    <w:rsid w:val="00453506"/>
    <w:rsid w:val="00453524"/>
    <w:rsid w:val="00454485"/>
    <w:rsid w:val="0045496F"/>
    <w:rsid w:val="004553CC"/>
    <w:rsid w:val="0045546D"/>
    <w:rsid w:val="004558B9"/>
    <w:rsid w:val="00455E28"/>
    <w:rsid w:val="00456548"/>
    <w:rsid w:val="004576E4"/>
    <w:rsid w:val="00460B07"/>
    <w:rsid w:val="00460F8D"/>
    <w:rsid w:val="004614DE"/>
    <w:rsid w:val="00461565"/>
    <w:rsid w:val="00461822"/>
    <w:rsid w:val="00463A93"/>
    <w:rsid w:val="00464652"/>
    <w:rsid w:val="004646E3"/>
    <w:rsid w:val="00464EA5"/>
    <w:rsid w:val="00465C37"/>
    <w:rsid w:val="00465DA9"/>
    <w:rsid w:val="00465DEF"/>
    <w:rsid w:val="00466261"/>
    <w:rsid w:val="004670F0"/>
    <w:rsid w:val="00467BE4"/>
    <w:rsid w:val="00467D86"/>
    <w:rsid w:val="00467F16"/>
    <w:rsid w:val="00471036"/>
    <w:rsid w:val="0047104E"/>
    <w:rsid w:val="00472ED8"/>
    <w:rsid w:val="0047350D"/>
    <w:rsid w:val="004736F5"/>
    <w:rsid w:val="00473AC1"/>
    <w:rsid w:val="0047530E"/>
    <w:rsid w:val="0047663C"/>
    <w:rsid w:val="00477B45"/>
    <w:rsid w:val="00480DD8"/>
    <w:rsid w:val="0048171B"/>
    <w:rsid w:val="00482451"/>
    <w:rsid w:val="00482C0C"/>
    <w:rsid w:val="004834E5"/>
    <w:rsid w:val="00483E76"/>
    <w:rsid w:val="0048413A"/>
    <w:rsid w:val="00484752"/>
    <w:rsid w:val="00485414"/>
    <w:rsid w:val="00485AFD"/>
    <w:rsid w:val="00485E70"/>
    <w:rsid w:val="00486890"/>
    <w:rsid w:val="004869D2"/>
    <w:rsid w:val="00487EBA"/>
    <w:rsid w:val="00490DB6"/>
    <w:rsid w:val="004914E1"/>
    <w:rsid w:val="004920C8"/>
    <w:rsid w:val="004925D0"/>
    <w:rsid w:val="00492DB8"/>
    <w:rsid w:val="00493C2A"/>
    <w:rsid w:val="004948CC"/>
    <w:rsid w:val="004949D5"/>
    <w:rsid w:val="004953AC"/>
    <w:rsid w:val="004953E7"/>
    <w:rsid w:val="00495883"/>
    <w:rsid w:val="00495A4B"/>
    <w:rsid w:val="00496201"/>
    <w:rsid w:val="00496298"/>
    <w:rsid w:val="00496E8A"/>
    <w:rsid w:val="00497483"/>
    <w:rsid w:val="00497C52"/>
    <w:rsid w:val="004A0BC9"/>
    <w:rsid w:val="004A119F"/>
    <w:rsid w:val="004A1262"/>
    <w:rsid w:val="004A22B4"/>
    <w:rsid w:val="004A26C3"/>
    <w:rsid w:val="004A2A62"/>
    <w:rsid w:val="004A3606"/>
    <w:rsid w:val="004A3BAC"/>
    <w:rsid w:val="004A423B"/>
    <w:rsid w:val="004A59EA"/>
    <w:rsid w:val="004A5E80"/>
    <w:rsid w:val="004A630F"/>
    <w:rsid w:val="004A6D51"/>
    <w:rsid w:val="004A7965"/>
    <w:rsid w:val="004B0F8C"/>
    <w:rsid w:val="004B1BC4"/>
    <w:rsid w:val="004B1BFA"/>
    <w:rsid w:val="004B205E"/>
    <w:rsid w:val="004B240D"/>
    <w:rsid w:val="004B26AD"/>
    <w:rsid w:val="004B2A2E"/>
    <w:rsid w:val="004B2DA4"/>
    <w:rsid w:val="004B2E39"/>
    <w:rsid w:val="004B3F5A"/>
    <w:rsid w:val="004B4072"/>
    <w:rsid w:val="004B41F0"/>
    <w:rsid w:val="004B551D"/>
    <w:rsid w:val="004B6613"/>
    <w:rsid w:val="004B7ECB"/>
    <w:rsid w:val="004C0074"/>
    <w:rsid w:val="004C0491"/>
    <w:rsid w:val="004C0B0D"/>
    <w:rsid w:val="004C2749"/>
    <w:rsid w:val="004C32CE"/>
    <w:rsid w:val="004C3738"/>
    <w:rsid w:val="004C4540"/>
    <w:rsid w:val="004C4B97"/>
    <w:rsid w:val="004C4CE9"/>
    <w:rsid w:val="004C563C"/>
    <w:rsid w:val="004C58A1"/>
    <w:rsid w:val="004C5994"/>
    <w:rsid w:val="004C5E65"/>
    <w:rsid w:val="004C63A4"/>
    <w:rsid w:val="004C713E"/>
    <w:rsid w:val="004C73A4"/>
    <w:rsid w:val="004D004F"/>
    <w:rsid w:val="004D03DA"/>
    <w:rsid w:val="004D09D0"/>
    <w:rsid w:val="004D298C"/>
    <w:rsid w:val="004D37E8"/>
    <w:rsid w:val="004D618C"/>
    <w:rsid w:val="004D7E6E"/>
    <w:rsid w:val="004E2599"/>
    <w:rsid w:val="004E278E"/>
    <w:rsid w:val="004E2FBF"/>
    <w:rsid w:val="004E32AC"/>
    <w:rsid w:val="004E37BB"/>
    <w:rsid w:val="004E3E67"/>
    <w:rsid w:val="004E3FCA"/>
    <w:rsid w:val="004E56DD"/>
    <w:rsid w:val="004E57B0"/>
    <w:rsid w:val="004E59F5"/>
    <w:rsid w:val="004E62E2"/>
    <w:rsid w:val="004E6B0E"/>
    <w:rsid w:val="004F042E"/>
    <w:rsid w:val="004F2565"/>
    <w:rsid w:val="004F28C4"/>
    <w:rsid w:val="004F3FB1"/>
    <w:rsid w:val="004F40F6"/>
    <w:rsid w:val="004F4B32"/>
    <w:rsid w:val="004F6A6B"/>
    <w:rsid w:val="004F6DBE"/>
    <w:rsid w:val="004F785B"/>
    <w:rsid w:val="00500302"/>
    <w:rsid w:val="00501383"/>
    <w:rsid w:val="0050194B"/>
    <w:rsid w:val="00501B7E"/>
    <w:rsid w:val="0050285D"/>
    <w:rsid w:val="005028F0"/>
    <w:rsid w:val="00503123"/>
    <w:rsid w:val="0050317A"/>
    <w:rsid w:val="00503312"/>
    <w:rsid w:val="00503FDE"/>
    <w:rsid w:val="00505A7A"/>
    <w:rsid w:val="00506214"/>
    <w:rsid w:val="00506353"/>
    <w:rsid w:val="005068D2"/>
    <w:rsid w:val="00510809"/>
    <w:rsid w:val="00510D77"/>
    <w:rsid w:val="00511120"/>
    <w:rsid w:val="00511486"/>
    <w:rsid w:val="00511718"/>
    <w:rsid w:val="00511F44"/>
    <w:rsid w:val="00512264"/>
    <w:rsid w:val="005123CD"/>
    <w:rsid w:val="005126E5"/>
    <w:rsid w:val="00512A07"/>
    <w:rsid w:val="00514501"/>
    <w:rsid w:val="00514ABB"/>
    <w:rsid w:val="00516B31"/>
    <w:rsid w:val="00516C73"/>
    <w:rsid w:val="0051728C"/>
    <w:rsid w:val="00517D1D"/>
    <w:rsid w:val="005205EC"/>
    <w:rsid w:val="00522166"/>
    <w:rsid w:val="00522C2B"/>
    <w:rsid w:val="00523824"/>
    <w:rsid w:val="0052469B"/>
    <w:rsid w:val="00524A63"/>
    <w:rsid w:val="00524FBA"/>
    <w:rsid w:val="00525165"/>
    <w:rsid w:val="00525B18"/>
    <w:rsid w:val="005266B8"/>
    <w:rsid w:val="00526EA7"/>
    <w:rsid w:val="005278A4"/>
    <w:rsid w:val="005278F9"/>
    <w:rsid w:val="005302A2"/>
    <w:rsid w:val="005306E7"/>
    <w:rsid w:val="00530BB2"/>
    <w:rsid w:val="005319E4"/>
    <w:rsid w:val="00532B73"/>
    <w:rsid w:val="00533740"/>
    <w:rsid w:val="00533A7E"/>
    <w:rsid w:val="00534BA0"/>
    <w:rsid w:val="005362C8"/>
    <w:rsid w:val="00536393"/>
    <w:rsid w:val="00536C48"/>
    <w:rsid w:val="00536E67"/>
    <w:rsid w:val="00536F40"/>
    <w:rsid w:val="00537ADF"/>
    <w:rsid w:val="0054038A"/>
    <w:rsid w:val="00540706"/>
    <w:rsid w:val="00540A96"/>
    <w:rsid w:val="005417F5"/>
    <w:rsid w:val="005421E7"/>
    <w:rsid w:val="0054260A"/>
    <w:rsid w:val="00543911"/>
    <w:rsid w:val="005444E0"/>
    <w:rsid w:val="005445B6"/>
    <w:rsid w:val="00546CB4"/>
    <w:rsid w:val="00546CB5"/>
    <w:rsid w:val="00547302"/>
    <w:rsid w:val="00547627"/>
    <w:rsid w:val="00547CC0"/>
    <w:rsid w:val="00551540"/>
    <w:rsid w:val="0055374B"/>
    <w:rsid w:val="00553C6B"/>
    <w:rsid w:val="00553F4D"/>
    <w:rsid w:val="00554D53"/>
    <w:rsid w:val="00554EEF"/>
    <w:rsid w:val="005564BE"/>
    <w:rsid w:val="00557064"/>
    <w:rsid w:val="00557238"/>
    <w:rsid w:val="0056060C"/>
    <w:rsid w:val="0056062A"/>
    <w:rsid w:val="0056156A"/>
    <w:rsid w:val="00561BFE"/>
    <w:rsid w:val="00562465"/>
    <w:rsid w:val="00562CE2"/>
    <w:rsid w:val="005638CB"/>
    <w:rsid w:val="00564871"/>
    <w:rsid w:val="00566441"/>
    <w:rsid w:val="005673FF"/>
    <w:rsid w:val="005703D4"/>
    <w:rsid w:val="005704A7"/>
    <w:rsid w:val="00570C3F"/>
    <w:rsid w:val="005718A6"/>
    <w:rsid w:val="00571A07"/>
    <w:rsid w:val="00572569"/>
    <w:rsid w:val="00572813"/>
    <w:rsid w:val="0057416A"/>
    <w:rsid w:val="0057534D"/>
    <w:rsid w:val="0057590D"/>
    <w:rsid w:val="00575A75"/>
    <w:rsid w:val="00577653"/>
    <w:rsid w:val="005779DE"/>
    <w:rsid w:val="00577D56"/>
    <w:rsid w:val="00581A74"/>
    <w:rsid w:val="00582464"/>
    <w:rsid w:val="00583B23"/>
    <w:rsid w:val="00584245"/>
    <w:rsid w:val="00585104"/>
    <w:rsid w:val="005851E9"/>
    <w:rsid w:val="00585419"/>
    <w:rsid w:val="00585AF3"/>
    <w:rsid w:val="00586037"/>
    <w:rsid w:val="005869F0"/>
    <w:rsid w:val="00590213"/>
    <w:rsid w:val="005902CD"/>
    <w:rsid w:val="005906E1"/>
    <w:rsid w:val="0059109F"/>
    <w:rsid w:val="00591324"/>
    <w:rsid w:val="0059233B"/>
    <w:rsid w:val="00592693"/>
    <w:rsid w:val="005932D6"/>
    <w:rsid w:val="005937E3"/>
    <w:rsid w:val="0059401A"/>
    <w:rsid w:val="00595980"/>
    <w:rsid w:val="00595F7E"/>
    <w:rsid w:val="005A0E61"/>
    <w:rsid w:val="005A5597"/>
    <w:rsid w:val="005A5B7F"/>
    <w:rsid w:val="005A5D8C"/>
    <w:rsid w:val="005A6C98"/>
    <w:rsid w:val="005A71BB"/>
    <w:rsid w:val="005A75F9"/>
    <w:rsid w:val="005A796E"/>
    <w:rsid w:val="005B095B"/>
    <w:rsid w:val="005B0996"/>
    <w:rsid w:val="005B33DC"/>
    <w:rsid w:val="005B347F"/>
    <w:rsid w:val="005B463B"/>
    <w:rsid w:val="005B50A7"/>
    <w:rsid w:val="005B5F32"/>
    <w:rsid w:val="005B62CD"/>
    <w:rsid w:val="005B6BC8"/>
    <w:rsid w:val="005B73DD"/>
    <w:rsid w:val="005B7668"/>
    <w:rsid w:val="005B7F0E"/>
    <w:rsid w:val="005C0DC2"/>
    <w:rsid w:val="005C109E"/>
    <w:rsid w:val="005C114C"/>
    <w:rsid w:val="005C1187"/>
    <w:rsid w:val="005C1AB5"/>
    <w:rsid w:val="005C20FC"/>
    <w:rsid w:val="005C3F77"/>
    <w:rsid w:val="005C497F"/>
    <w:rsid w:val="005C4FC3"/>
    <w:rsid w:val="005C6671"/>
    <w:rsid w:val="005C6984"/>
    <w:rsid w:val="005C6CED"/>
    <w:rsid w:val="005C7817"/>
    <w:rsid w:val="005D0C55"/>
    <w:rsid w:val="005D1D46"/>
    <w:rsid w:val="005D222A"/>
    <w:rsid w:val="005D2BC8"/>
    <w:rsid w:val="005D2C18"/>
    <w:rsid w:val="005D323F"/>
    <w:rsid w:val="005D4C39"/>
    <w:rsid w:val="005D4EE3"/>
    <w:rsid w:val="005D5304"/>
    <w:rsid w:val="005D659A"/>
    <w:rsid w:val="005D6FC4"/>
    <w:rsid w:val="005E0055"/>
    <w:rsid w:val="005E1212"/>
    <w:rsid w:val="005E33BB"/>
    <w:rsid w:val="005E385F"/>
    <w:rsid w:val="005E6990"/>
    <w:rsid w:val="005E7847"/>
    <w:rsid w:val="005F09DC"/>
    <w:rsid w:val="005F38DE"/>
    <w:rsid w:val="005F3DD7"/>
    <w:rsid w:val="005F41CF"/>
    <w:rsid w:val="005F5281"/>
    <w:rsid w:val="005F5344"/>
    <w:rsid w:val="005F58AF"/>
    <w:rsid w:val="005F6F2B"/>
    <w:rsid w:val="005F74F4"/>
    <w:rsid w:val="005F7C05"/>
    <w:rsid w:val="0060067F"/>
    <w:rsid w:val="00600A20"/>
    <w:rsid w:val="00601C42"/>
    <w:rsid w:val="00601E0D"/>
    <w:rsid w:val="0060241A"/>
    <w:rsid w:val="00603319"/>
    <w:rsid w:val="00604C76"/>
    <w:rsid w:val="006050AD"/>
    <w:rsid w:val="00605B84"/>
    <w:rsid w:val="006067C6"/>
    <w:rsid w:val="0060732A"/>
    <w:rsid w:val="00607612"/>
    <w:rsid w:val="00607CA9"/>
    <w:rsid w:val="00610A33"/>
    <w:rsid w:val="0061126E"/>
    <w:rsid w:val="006115D6"/>
    <w:rsid w:val="00612C5A"/>
    <w:rsid w:val="0061315A"/>
    <w:rsid w:val="00613C2F"/>
    <w:rsid w:val="00615902"/>
    <w:rsid w:val="00620744"/>
    <w:rsid w:val="0062090B"/>
    <w:rsid w:val="00620D4A"/>
    <w:rsid w:val="00621796"/>
    <w:rsid w:val="00621EF9"/>
    <w:rsid w:val="00622BAF"/>
    <w:rsid w:val="006236EE"/>
    <w:rsid w:val="006241FA"/>
    <w:rsid w:val="0062490F"/>
    <w:rsid w:val="006267CE"/>
    <w:rsid w:val="00626A72"/>
    <w:rsid w:val="006270A2"/>
    <w:rsid w:val="00627BF9"/>
    <w:rsid w:val="00627C63"/>
    <w:rsid w:val="00630346"/>
    <w:rsid w:val="006310D5"/>
    <w:rsid w:val="00631F11"/>
    <w:rsid w:val="006326A1"/>
    <w:rsid w:val="006328C3"/>
    <w:rsid w:val="0063347C"/>
    <w:rsid w:val="00633502"/>
    <w:rsid w:val="0063383B"/>
    <w:rsid w:val="00633F08"/>
    <w:rsid w:val="00633F27"/>
    <w:rsid w:val="006346C0"/>
    <w:rsid w:val="00634A43"/>
    <w:rsid w:val="00635D34"/>
    <w:rsid w:val="006366AA"/>
    <w:rsid w:val="006366BB"/>
    <w:rsid w:val="0063758B"/>
    <w:rsid w:val="006378B5"/>
    <w:rsid w:val="00642E26"/>
    <w:rsid w:val="00643720"/>
    <w:rsid w:val="00643D6D"/>
    <w:rsid w:val="00644060"/>
    <w:rsid w:val="006456AF"/>
    <w:rsid w:val="00645FCF"/>
    <w:rsid w:val="00646F90"/>
    <w:rsid w:val="00647454"/>
    <w:rsid w:val="00647497"/>
    <w:rsid w:val="00650D5D"/>
    <w:rsid w:val="0065144C"/>
    <w:rsid w:val="00651486"/>
    <w:rsid w:val="00651A69"/>
    <w:rsid w:val="00651ED4"/>
    <w:rsid w:val="006521D4"/>
    <w:rsid w:val="006525D6"/>
    <w:rsid w:val="00652D30"/>
    <w:rsid w:val="00652FAD"/>
    <w:rsid w:val="00653474"/>
    <w:rsid w:val="00653B87"/>
    <w:rsid w:val="006543A1"/>
    <w:rsid w:val="0065593C"/>
    <w:rsid w:val="00655CCF"/>
    <w:rsid w:val="006567BB"/>
    <w:rsid w:val="00656AB5"/>
    <w:rsid w:val="00657ACF"/>
    <w:rsid w:val="00657F8A"/>
    <w:rsid w:val="00660083"/>
    <w:rsid w:val="0066055C"/>
    <w:rsid w:val="006611EC"/>
    <w:rsid w:val="0066162C"/>
    <w:rsid w:val="00661C11"/>
    <w:rsid w:val="006654DB"/>
    <w:rsid w:val="00665C8B"/>
    <w:rsid w:val="00666003"/>
    <w:rsid w:val="00666448"/>
    <w:rsid w:val="00670588"/>
    <w:rsid w:val="00671823"/>
    <w:rsid w:val="00672861"/>
    <w:rsid w:val="00673665"/>
    <w:rsid w:val="00673725"/>
    <w:rsid w:val="00674339"/>
    <w:rsid w:val="00674EEF"/>
    <w:rsid w:val="00675B6A"/>
    <w:rsid w:val="00675F7F"/>
    <w:rsid w:val="0067609D"/>
    <w:rsid w:val="0067641F"/>
    <w:rsid w:val="00676EAB"/>
    <w:rsid w:val="006773DC"/>
    <w:rsid w:val="00677500"/>
    <w:rsid w:val="0067763C"/>
    <w:rsid w:val="00677700"/>
    <w:rsid w:val="00680343"/>
    <w:rsid w:val="00681495"/>
    <w:rsid w:val="0068189D"/>
    <w:rsid w:val="00681BD9"/>
    <w:rsid w:val="0068385C"/>
    <w:rsid w:val="00683F39"/>
    <w:rsid w:val="0068493E"/>
    <w:rsid w:val="00687863"/>
    <w:rsid w:val="0069000E"/>
    <w:rsid w:val="00691492"/>
    <w:rsid w:val="00691DBE"/>
    <w:rsid w:val="00692543"/>
    <w:rsid w:val="00692737"/>
    <w:rsid w:val="00692BD8"/>
    <w:rsid w:val="006938E6"/>
    <w:rsid w:val="006939CB"/>
    <w:rsid w:val="00693AC8"/>
    <w:rsid w:val="00694F92"/>
    <w:rsid w:val="00696781"/>
    <w:rsid w:val="0069773B"/>
    <w:rsid w:val="006A0A4D"/>
    <w:rsid w:val="006A0B59"/>
    <w:rsid w:val="006A1764"/>
    <w:rsid w:val="006A2457"/>
    <w:rsid w:val="006A250E"/>
    <w:rsid w:val="006A2663"/>
    <w:rsid w:val="006A2BE8"/>
    <w:rsid w:val="006A3240"/>
    <w:rsid w:val="006A3F36"/>
    <w:rsid w:val="006A49F9"/>
    <w:rsid w:val="006A5964"/>
    <w:rsid w:val="006A60E2"/>
    <w:rsid w:val="006A652E"/>
    <w:rsid w:val="006A66DF"/>
    <w:rsid w:val="006A6B7D"/>
    <w:rsid w:val="006A6CC5"/>
    <w:rsid w:val="006A79AB"/>
    <w:rsid w:val="006B0D81"/>
    <w:rsid w:val="006B155A"/>
    <w:rsid w:val="006B18C1"/>
    <w:rsid w:val="006B19E7"/>
    <w:rsid w:val="006B2023"/>
    <w:rsid w:val="006B3964"/>
    <w:rsid w:val="006B3FAB"/>
    <w:rsid w:val="006B477D"/>
    <w:rsid w:val="006B4D83"/>
    <w:rsid w:val="006B501C"/>
    <w:rsid w:val="006B5114"/>
    <w:rsid w:val="006B564D"/>
    <w:rsid w:val="006B5C1B"/>
    <w:rsid w:val="006B6272"/>
    <w:rsid w:val="006B656D"/>
    <w:rsid w:val="006B6757"/>
    <w:rsid w:val="006B69B6"/>
    <w:rsid w:val="006B7411"/>
    <w:rsid w:val="006C01BE"/>
    <w:rsid w:val="006C0B64"/>
    <w:rsid w:val="006C1EA3"/>
    <w:rsid w:val="006C27CB"/>
    <w:rsid w:val="006C28D3"/>
    <w:rsid w:val="006C2BF4"/>
    <w:rsid w:val="006C4678"/>
    <w:rsid w:val="006C6C4F"/>
    <w:rsid w:val="006C6E47"/>
    <w:rsid w:val="006C797C"/>
    <w:rsid w:val="006C7AE0"/>
    <w:rsid w:val="006C7BCC"/>
    <w:rsid w:val="006C7F9B"/>
    <w:rsid w:val="006D0B68"/>
    <w:rsid w:val="006D1805"/>
    <w:rsid w:val="006D1937"/>
    <w:rsid w:val="006D246E"/>
    <w:rsid w:val="006D2C46"/>
    <w:rsid w:val="006D55F8"/>
    <w:rsid w:val="006D59C3"/>
    <w:rsid w:val="006D5DA8"/>
    <w:rsid w:val="006D6672"/>
    <w:rsid w:val="006D6813"/>
    <w:rsid w:val="006D7010"/>
    <w:rsid w:val="006D7DA8"/>
    <w:rsid w:val="006E04E3"/>
    <w:rsid w:val="006E126B"/>
    <w:rsid w:val="006E4CBC"/>
    <w:rsid w:val="006E4FC0"/>
    <w:rsid w:val="006E6353"/>
    <w:rsid w:val="006E6C68"/>
    <w:rsid w:val="006F0AF8"/>
    <w:rsid w:val="006F17B7"/>
    <w:rsid w:val="006F1893"/>
    <w:rsid w:val="006F284F"/>
    <w:rsid w:val="006F2F47"/>
    <w:rsid w:val="006F316F"/>
    <w:rsid w:val="006F3233"/>
    <w:rsid w:val="006F354C"/>
    <w:rsid w:val="006F3E1E"/>
    <w:rsid w:val="006F44A9"/>
    <w:rsid w:val="006F51C0"/>
    <w:rsid w:val="006F6B17"/>
    <w:rsid w:val="006F6BE4"/>
    <w:rsid w:val="006F7E83"/>
    <w:rsid w:val="006F7E87"/>
    <w:rsid w:val="00701661"/>
    <w:rsid w:val="00702EF1"/>
    <w:rsid w:val="0070378E"/>
    <w:rsid w:val="00703B35"/>
    <w:rsid w:val="0070425F"/>
    <w:rsid w:val="0070431E"/>
    <w:rsid w:val="00704895"/>
    <w:rsid w:val="007058A0"/>
    <w:rsid w:val="00705D71"/>
    <w:rsid w:val="00706662"/>
    <w:rsid w:val="00707089"/>
    <w:rsid w:val="007071FC"/>
    <w:rsid w:val="00707475"/>
    <w:rsid w:val="00707478"/>
    <w:rsid w:val="007078B4"/>
    <w:rsid w:val="0070793B"/>
    <w:rsid w:val="007115D0"/>
    <w:rsid w:val="007142EE"/>
    <w:rsid w:val="00714A0F"/>
    <w:rsid w:val="00714B0F"/>
    <w:rsid w:val="00715418"/>
    <w:rsid w:val="007167E7"/>
    <w:rsid w:val="00716AE5"/>
    <w:rsid w:val="0072019C"/>
    <w:rsid w:val="00720CF6"/>
    <w:rsid w:val="007215F7"/>
    <w:rsid w:val="00721864"/>
    <w:rsid w:val="00721BD7"/>
    <w:rsid w:val="00721E7D"/>
    <w:rsid w:val="00722601"/>
    <w:rsid w:val="00722BA8"/>
    <w:rsid w:val="0072344F"/>
    <w:rsid w:val="0072345C"/>
    <w:rsid w:val="00723BEA"/>
    <w:rsid w:val="007240B4"/>
    <w:rsid w:val="0072650D"/>
    <w:rsid w:val="00726DBF"/>
    <w:rsid w:val="00726E19"/>
    <w:rsid w:val="0073022D"/>
    <w:rsid w:val="00732445"/>
    <w:rsid w:val="00732B55"/>
    <w:rsid w:val="00733041"/>
    <w:rsid w:val="00733757"/>
    <w:rsid w:val="0073481E"/>
    <w:rsid w:val="0073492B"/>
    <w:rsid w:val="00736ED1"/>
    <w:rsid w:val="00737FDB"/>
    <w:rsid w:val="007410B5"/>
    <w:rsid w:val="0074152C"/>
    <w:rsid w:val="00742253"/>
    <w:rsid w:val="0074257F"/>
    <w:rsid w:val="00742BAD"/>
    <w:rsid w:val="007435A3"/>
    <w:rsid w:val="00743C57"/>
    <w:rsid w:val="007442F5"/>
    <w:rsid w:val="00744D59"/>
    <w:rsid w:val="00744EFB"/>
    <w:rsid w:val="0074713E"/>
    <w:rsid w:val="00747678"/>
    <w:rsid w:val="007477DB"/>
    <w:rsid w:val="007479F4"/>
    <w:rsid w:val="00747AF6"/>
    <w:rsid w:val="00747BC9"/>
    <w:rsid w:val="00750406"/>
    <w:rsid w:val="0075160F"/>
    <w:rsid w:val="00751D24"/>
    <w:rsid w:val="007520DB"/>
    <w:rsid w:val="00753CB4"/>
    <w:rsid w:val="00753DEE"/>
    <w:rsid w:val="00754335"/>
    <w:rsid w:val="00754814"/>
    <w:rsid w:val="00754962"/>
    <w:rsid w:val="0075596F"/>
    <w:rsid w:val="007564AA"/>
    <w:rsid w:val="007565DE"/>
    <w:rsid w:val="00756D9F"/>
    <w:rsid w:val="0075744F"/>
    <w:rsid w:val="00757BCE"/>
    <w:rsid w:val="007601F3"/>
    <w:rsid w:val="007607C0"/>
    <w:rsid w:val="00761918"/>
    <w:rsid w:val="00761FA9"/>
    <w:rsid w:val="007628BC"/>
    <w:rsid w:val="00763898"/>
    <w:rsid w:val="007651A8"/>
    <w:rsid w:val="00765736"/>
    <w:rsid w:val="00765B5E"/>
    <w:rsid w:val="00767092"/>
    <w:rsid w:val="0076771E"/>
    <w:rsid w:val="00767A6E"/>
    <w:rsid w:val="00770170"/>
    <w:rsid w:val="00771A12"/>
    <w:rsid w:val="007727EE"/>
    <w:rsid w:val="0077287A"/>
    <w:rsid w:val="00772B87"/>
    <w:rsid w:val="007733A6"/>
    <w:rsid w:val="007741E5"/>
    <w:rsid w:val="00775AD7"/>
    <w:rsid w:val="00776EC9"/>
    <w:rsid w:val="007770E5"/>
    <w:rsid w:val="007775F7"/>
    <w:rsid w:val="0077798A"/>
    <w:rsid w:val="00777BF8"/>
    <w:rsid w:val="00780257"/>
    <w:rsid w:val="00781810"/>
    <w:rsid w:val="00782FC5"/>
    <w:rsid w:val="00783C7F"/>
    <w:rsid w:val="00784B57"/>
    <w:rsid w:val="007875CA"/>
    <w:rsid w:val="00787BA6"/>
    <w:rsid w:val="00787DA7"/>
    <w:rsid w:val="00787DD9"/>
    <w:rsid w:val="0079147F"/>
    <w:rsid w:val="007929FD"/>
    <w:rsid w:val="007934A3"/>
    <w:rsid w:val="00794765"/>
    <w:rsid w:val="00794CC6"/>
    <w:rsid w:val="00794E78"/>
    <w:rsid w:val="00795BE3"/>
    <w:rsid w:val="00795E1F"/>
    <w:rsid w:val="00796A12"/>
    <w:rsid w:val="00797F90"/>
    <w:rsid w:val="007A0E03"/>
    <w:rsid w:val="007A2B4A"/>
    <w:rsid w:val="007A2C8B"/>
    <w:rsid w:val="007A347B"/>
    <w:rsid w:val="007A34AE"/>
    <w:rsid w:val="007A39AC"/>
    <w:rsid w:val="007A54EB"/>
    <w:rsid w:val="007A6A53"/>
    <w:rsid w:val="007A761D"/>
    <w:rsid w:val="007A7975"/>
    <w:rsid w:val="007B0D07"/>
    <w:rsid w:val="007B0F9E"/>
    <w:rsid w:val="007B2CE3"/>
    <w:rsid w:val="007B30D1"/>
    <w:rsid w:val="007B3FF6"/>
    <w:rsid w:val="007B4516"/>
    <w:rsid w:val="007B5BEE"/>
    <w:rsid w:val="007B5F39"/>
    <w:rsid w:val="007B6516"/>
    <w:rsid w:val="007B6A07"/>
    <w:rsid w:val="007B7784"/>
    <w:rsid w:val="007C1D94"/>
    <w:rsid w:val="007C2F0B"/>
    <w:rsid w:val="007C3FE4"/>
    <w:rsid w:val="007C41A4"/>
    <w:rsid w:val="007C5D25"/>
    <w:rsid w:val="007C62DC"/>
    <w:rsid w:val="007C7168"/>
    <w:rsid w:val="007C720A"/>
    <w:rsid w:val="007D045D"/>
    <w:rsid w:val="007D05D6"/>
    <w:rsid w:val="007D07A0"/>
    <w:rsid w:val="007D0D3E"/>
    <w:rsid w:val="007D101F"/>
    <w:rsid w:val="007D22E2"/>
    <w:rsid w:val="007D28DB"/>
    <w:rsid w:val="007D3419"/>
    <w:rsid w:val="007D3B7C"/>
    <w:rsid w:val="007D4FE9"/>
    <w:rsid w:val="007D51E0"/>
    <w:rsid w:val="007D53FA"/>
    <w:rsid w:val="007D6472"/>
    <w:rsid w:val="007D682A"/>
    <w:rsid w:val="007D7318"/>
    <w:rsid w:val="007E024F"/>
    <w:rsid w:val="007E163B"/>
    <w:rsid w:val="007E257E"/>
    <w:rsid w:val="007E4F06"/>
    <w:rsid w:val="007E5583"/>
    <w:rsid w:val="007E5B2A"/>
    <w:rsid w:val="007E616A"/>
    <w:rsid w:val="007E6C11"/>
    <w:rsid w:val="007E70C0"/>
    <w:rsid w:val="007E7FED"/>
    <w:rsid w:val="007F0C10"/>
    <w:rsid w:val="007F0F2F"/>
    <w:rsid w:val="007F2CAF"/>
    <w:rsid w:val="007F358E"/>
    <w:rsid w:val="007F395F"/>
    <w:rsid w:val="007F4A42"/>
    <w:rsid w:val="007F506E"/>
    <w:rsid w:val="007F62F1"/>
    <w:rsid w:val="007F639D"/>
    <w:rsid w:val="007F6C0B"/>
    <w:rsid w:val="007F78EE"/>
    <w:rsid w:val="008001CC"/>
    <w:rsid w:val="008004AD"/>
    <w:rsid w:val="008006F4"/>
    <w:rsid w:val="0080083C"/>
    <w:rsid w:val="00800A00"/>
    <w:rsid w:val="008018F3"/>
    <w:rsid w:val="008028CE"/>
    <w:rsid w:val="008032DF"/>
    <w:rsid w:val="008048CE"/>
    <w:rsid w:val="00804ACD"/>
    <w:rsid w:val="008059D9"/>
    <w:rsid w:val="00805C85"/>
    <w:rsid w:val="00805E68"/>
    <w:rsid w:val="00806AB1"/>
    <w:rsid w:val="008072C0"/>
    <w:rsid w:val="008074A6"/>
    <w:rsid w:val="00810204"/>
    <w:rsid w:val="00811466"/>
    <w:rsid w:val="00811DF3"/>
    <w:rsid w:val="00812B1C"/>
    <w:rsid w:val="008136FB"/>
    <w:rsid w:val="00814F92"/>
    <w:rsid w:val="008161D8"/>
    <w:rsid w:val="0081632A"/>
    <w:rsid w:val="008164FA"/>
    <w:rsid w:val="00816B87"/>
    <w:rsid w:val="0081717F"/>
    <w:rsid w:val="0081768E"/>
    <w:rsid w:val="00817B91"/>
    <w:rsid w:val="008203FF"/>
    <w:rsid w:val="00820468"/>
    <w:rsid w:val="008209B8"/>
    <w:rsid w:val="00820CE0"/>
    <w:rsid w:val="00822168"/>
    <w:rsid w:val="00823C54"/>
    <w:rsid w:val="00824DEC"/>
    <w:rsid w:val="0082597F"/>
    <w:rsid w:val="00825A40"/>
    <w:rsid w:val="008276E1"/>
    <w:rsid w:val="00827C68"/>
    <w:rsid w:val="00830014"/>
    <w:rsid w:val="008311B5"/>
    <w:rsid w:val="0083132A"/>
    <w:rsid w:val="00832498"/>
    <w:rsid w:val="008366D0"/>
    <w:rsid w:val="00836AFE"/>
    <w:rsid w:val="00836D2B"/>
    <w:rsid w:val="00840A71"/>
    <w:rsid w:val="00841AA6"/>
    <w:rsid w:val="008428AF"/>
    <w:rsid w:val="00844C47"/>
    <w:rsid w:val="0084591F"/>
    <w:rsid w:val="00845939"/>
    <w:rsid w:val="00846FEB"/>
    <w:rsid w:val="0084724C"/>
    <w:rsid w:val="008475BC"/>
    <w:rsid w:val="008501CE"/>
    <w:rsid w:val="00851241"/>
    <w:rsid w:val="008515A5"/>
    <w:rsid w:val="0085278E"/>
    <w:rsid w:val="008536FF"/>
    <w:rsid w:val="0085375C"/>
    <w:rsid w:val="0085379C"/>
    <w:rsid w:val="00853F66"/>
    <w:rsid w:val="00854FD8"/>
    <w:rsid w:val="00856D4A"/>
    <w:rsid w:val="00856EF1"/>
    <w:rsid w:val="008575C3"/>
    <w:rsid w:val="008579C0"/>
    <w:rsid w:val="00860358"/>
    <w:rsid w:val="008610D3"/>
    <w:rsid w:val="00861857"/>
    <w:rsid w:val="00861963"/>
    <w:rsid w:val="00861B5D"/>
    <w:rsid w:val="0086313C"/>
    <w:rsid w:val="0086373A"/>
    <w:rsid w:val="00863A22"/>
    <w:rsid w:val="00863F84"/>
    <w:rsid w:val="00864F87"/>
    <w:rsid w:val="008652C9"/>
    <w:rsid w:val="00865450"/>
    <w:rsid w:val="00866346"/>
    <w:rsid w:val="00866640"/>
    <w:rsid w:val="008669C8"/>
    <w:rsid w:val="00866A29"/>
    <w:rsid w:val="00867C1F"/>
    <w:rsid w:val="00870A64"/>
    <w:rsid w:val="00870A8A"/>
    <w:rsid w:val="0087203E"/>
    <w:rsid w:val="00872317"/>
    <w:rsid w:val="00872A3E"/>
    <w:rsid w:val="00874327"/>
    <w:rsid w:val="00874437"/>
    <w:rsid w:val="00874648"/>
    <w:rsid w:val="00874673"/>
    <w:rsid w:val="008748A2"/>
    <w:rsid w:val="0087554F"/>
    <w:rsid w:val="00875AF5"/>
    <w:rsid w:val="00876A47"/>
    <w:rsid w:val="0087737A"/>
    <w:rsid w:val="008779D1"/>
    <w:rsid w:val="00880EA4"/>
    <w:rsid w:val="00882009"/>
    <w:rsid w:val="00884E6A"/>
    <w:rsid w:val="008856A6"/>
    <w:rsid w:val="00887891"/>
    <w:rsid w:val="008906DD"/>
    <w:rsid w:val="008926D9"/>
    <w:rsid w:val="008926F2"/>
    <w:rsid w:val="00892B27"/>
    <w:rsid w:val="00892C09"/>
    <w:rsid w:val="008934CD"/>
    <w:rsid w:val="0089356B"/>
    <w:rsid w:val="008940E2"/>
    <w:rsid w:val="00895145"/>
    <w:rsid w:val="00895D95"/>
    <w:rsid w:val="00895DB2"/>
    <w:rsid w:val="008966D3"/>
    <w:rsid w:val="008969EE"/>
    <w:rsid w:val="00896F2D"/>
    <w:rsid w:val="008971CB"/>
    <w:rsid w:val="00897B4D"/>
    <w:rsid w:val="008A008A"/>
    <w:rsid w:val="008A14CF"/>
    <w:rsid w:val="008A1AF8"/>
    <w:rsid w:val="008A3231"/>
    <w:rsid w:val="008A4781"/>
    <w:rsid w:val="008A527C"/>
    <w:rsid w:val="008A542A"/>
    <w:rsid w:val="008A548E"/>
    <w:rsid w:val="008A5C4C"/>
    <w:rsid w:val="008A60F3"/>
    <w:rsid w:val="008A62EB"/>
    <w:rsid w:val="008A665D"/>
    <w:rsid w:val="008B0066"/>
    <w:rsid w:val="008B098F"/>
    <w:rsid w:val="008B1E2E"/>
    <w:rsid w:val="008B3943"/>
    <w:rsid w:val="008B3A2A"/>
    <w:rsid w:val="008B420D"/>
    <w:rsid w:val="008B42B8"/>
    <w:rsid w:val="008B4DE9"/>
    <w:rsid w:val="008B50CF"/>
    <w:rsid w:val="008B6006"/>
    <w:rsid w:val="008B61AC"/>
    <w:rsid w:val="008B655D"/>
    <w:rsid w:val="008B6CEB"/>
    <w:rsid w:val="008C0A70"/>
    <w:rsid w:val="008C0DA4"/>
    <w:rsid w:val="008C1247"/>
    <w:rsid w:val="008C1AB0"/>
    <w:rsid w:val="008C1FBA"/>
    <w:rsid w:val="008C23AF"/>
    <w:rsid w:val="008C2A76"/>
    <w:rsid w:val="008C2ECC"/>
    <w:rsid w:val="008C3D58"/>
    <w:rsid w:val="008C4534"/>
    <w:rsid w:val="008C46F6"/>
    <w:rsid w:val="008C4EE8"/>
    <w:rsid w:val="008C57DF"/>
    <w:rsid w:val="008C598E"/>
    <w:rsid w:val="008C6099"/>
    <w:rsid w:val="008C6D47"/>
    <w:rsid w:val="008C6D66"/>
    <w:rsid w:val="008C70E2"/>
    <w:rsid w:val="008C74BD"/>
    <w:rsid w:val="008D16CC"/>
    <w:rsid w:val="008D1D3D"/>
    <w:rsid w:val="008D219E"/>
    <w:rsid w:val="008D241D"/>
    <w:rsid w:val="008D3747"/>
    <w:rsid w:val="008D4DB1"/>
    <w:rsid w:val="008D4F08"/>
    <w:rsid w:val="008E077D"/>
    <w:rsid w:val="008E0BDF"/>
    <w:rsid w:val="008E29F0"/>
    <w:rsid w:val="008E3DA7"/>
    <w:rsid w:val="008E42B5"/>
    <w:rsid w:val="008E4D64"/>
    <w:rsid w:val="008E5C3E"/>
    <w:rsid w:val="008E5D00"/>
    <w:rsid w:val="008F039E"/>
    <w:rsid w:val="008F16EA"/>
    <w:rsid w:val="008F322E"/>
    <w:rsid w:val="008F38B5"/>
    <w:rsid w:val="008F4A3A"/>
    <w:rsid w:val="008F4D08"/>
    <w:rsid w:val="008F7927"/>
    <w:rsid w:val="008F7E47"/>
    <w:rsid w:val="008F7FE6"/>
    <w:rsid w:val="009005B0"/>
    <w:rsid w:val="00900AC7"/>
    <w:rsid w:val="00901C9F"/>
    <w:rsid w:val="00903DB3"/>
    <w:rsid w:val="009046C2"/>
    <w:rsid w:val="009048D7"/>
    <w:rsid w:val="00904C4F"/>
    <w:rsid w:val="009061F8"/>
    <w:rsid w:val="009075E7"/>
    <w:rsid w:val="0090766A"/>
    <w:rsid w:val="00907805"/>
    <w:rsid w:val="00907A4D"/>
    <w:rsid w:val="00907F4D"/>
    <w:rsid w:val="00907FA5"/>
    <w:rsid w:val="009126DF"/>
    <w:rsid w:val="00912B05"/>
    <w:rsid w:val="00912C18"/>
    <w:rsid w:val="00914932"/>
    <w:rsid w:val="00914AAB"/>
    <w:rsid w:val="00914CE5"/>
    <w:rsid w:val="00915575"/>
    <w:rsid w:val="009174D8"/>
    <w:rsid w:val="009175B2"/>
    <w:rsid w:val="00917909"/>
    <w:rsid w:val="00920899"/>
    <w:rsid w:val="00920BC8"/>
    <w:rsid w:val="00922495"/>
    <w:rsid w:val="009228F4"/>
    <w:rsid w:val="00922B59"/>
    <w:rsid w:val="00923847"/>
    <w:rsid w:val="009247A1"/>
    <w:rsid w:val="009254D1"/>
    <w:rsid w:val="0092574D"/>
    <w:rsid w:val="00925C40"/>
    <w:rsid w:val="00925E20"/>
    <w:rsid w:val="00926963"/>
    <w:rsid w:val="0092722C"/>
    <w:rsid w:val="00927EAB"/>
    <w:rsid w:val="00930196"/>
    <w:rsid w:val="0093193A"/>
    <w:rsid w:val="00932DE6"/>
    <w:rsid w:val="00932FAD"/>
    <w:rsid w:val="00933156"/>
    <w:rsid w:val="009337D8"/>
    <w:rsid w:val="009342AF"/>
    <w:rsid w:val="00934C95"/>
    <w:rsid w:val="00934EA8"/>
    <w:rsid w:val="00936FA5"/>
    <w:rsid w:val="00937CFD"/>
    <w:rsid w:val="00937DA8"/>
    <w:rsid w:val="0094006B"/>
    <w:rsid w:val="00941EB7"/>
    <w:rsid w:val="00942BFD"/>
    <w:rsid w:val="00942FA3"/>
    <w:rsid w:val="0094352E"/>
    <w:rsid w:val="00943A7A"/>
    <w:rsid w:val="0094673F"/>
    <w:rsid w:val="00946F3F"/>
    <w:rsid w:val="0094707C"/>
    <w:rsid w:val="009474EF"/>
    <w:rsid w:val="00947731"/>
    <w:rsid w:val="00947A64"/>
    <w:rsid w:val="009509F1"/>
    <w:rsid w:val="00950B29"/>
    <w:rsid w:val="009523B5"/>
    <w:rsid w:val="00952B07"/>
    <w:rsid w:val="00953BA4"/>
    <w:rsid w:val="009540C7"/>
    <w:rsid w:val="00954CC4"/>
    <w:rsid w:val="00955CA2"/>
    <w:rsid w:val="00955F83"/>
    <w:rsid w:val="009568A1"/>
    <w:rsid w:val="00956EAC"/>
    <w:rsid w:val="009574F7"/>
    <w:rsid w:val="0096029C"/>
    <w:rsid w:val="0096092B"/>
    <w:rsid w:val="00960D8D"/>
    <w:rsid w:val="0096117A"/>
    <w:rsid w:val="00962E52"/>
    <w:rsid w:val="0096427E"/>
    <w:rsid w:val="00965B73"/>
    <w:rsid w:val="009662D3"/>
    <w:rsid w:val="0096714F"/>
    <w:rsid w:val="00967488"/>
    <w:rsid w:val="00970E13"/>
    <w:rsid w:val="00970EEF"/>
    <w:rsid w:val="00972215"/>
    <w:rsid w:val="0097264E"/>
    <w:rsid w:val="00972757"/>
    <w:rsid w:val="00974671"/>
    <w:rsid w:val="009757C8"/>
    <w:rsid w:val="009758B0"/>
    <w:rsid w:val="0097610B"/>
    <w:rsid w:val="009769EF"/>
    <w:rsid w:val="009771A0"/>
    <w:rsid w:val="00982AA4"/>
    <w:rsid w:val="00983604"/>
    <w:rsid w:val="009838A0"/>
    <w:rsid w:val="00983A14"/>
    <w:rsid w:val="00986329"/>
    <w:rsid w:val="00986807"/>
    <w:rsid w:val="009869FD"/>
    <w:rsid w:val="00986E7D"/>
    <w:rsid w:val="0098706D"/>
    <w:rsid w:val="0099018E"/>
    <w:rsid w:val="00990E53"/>
    <w:rsid w:val="00991CA7"/>
    <w:rsid w:val="00992066"/>
    <w:rsid w:val="0099437D"/>
    <w:rsid w:val="009958B1"/>
    <w:rsid w:val="00995906"/>
    <w:rsid w:val="00995929"/>
    <w:rsid w:val="0099646C"/>
    <w:rsid w:val="00997606"/>
    <w:rsid w:val="0099786B"/>
    <w:rsid w:val="00997C78"/>
    <w:rsid w:val="00997EA6"/>
    <w:rsid w:val="009A0809"/>
    <w:rsid w:val="009A1042"/>
    <w:rsid w:val="009A1AC1"/>
    <w:rsid w:val="009A1B1B"/>
    <w:rsid w:val="009A1ECA"/>
    <w:rsid w:val="009A2EA0"/>
    <w:rsid w:val="009A2F22"/>
    <w:rsid w:val="009A36DE"/>
    <w:rsid w:val="009A45A5"/>
    <w:rsid w:val="009A4E73"/>
    <w:rsid w:val="009A5C5D"/>
    <w:rsid w:val="009A63DA"/>
    <w:rsid w:val="009A68D8"/>
    <w:rsid w:val="009A68E8"/>
    <w:rsid w:val="009A69AD"/>
    <w:rsid w:val="009A779A"/>
    <w:rsid w:val="009B10B9"/>
    <w:rsid w:val="009B2846"/>
    <w:rsid w:val="009B2AB8"/>
    <w:rsid w:val="009B2B38"/>
    <w:rsid w:val="009B39BB"/>
    <w:rsid w:val="009B3DEA"/>
    <w:rsid w:val="009B5201"/>
    <w:rsid w:val="009B6064"/>
    <w:rsid w:val="009B6DA3"/>
    <w:rsid w:val="009C28D7"/>
    <w:rsid w:val="009C2C44"/>
    <w:rsid w:val="009C32C5"/>
    <w:rsid w:val="009C5975"/>
    <w:rsid w:val="009C611E"/>
    <w:rsid w:val="009C6774"/>
    <w:rsid w:val="009C737C"/>
    <w:rsid w:val="009C78C1"/>
    <w:rsid w:val="009D1203"/>
    <w:rsid w:val="009D1876"/>
    <w:rsid w:val="009D2339"/>
    <w:rsid w:val="009D265B"/>
    <w:rsid w:val="009D30CE"/>
    <w:rsid w:val="009D56F5"/>
    <w:rsid w:val="009D57CF"/>
    <w:rsid w:val="009D5C8A"/>
    <w:rsid w:val="009D62CF"/>
    <w:rsid w:val="009D6796"/>
    <w:rsid w:val="009D75E1"/>
    <w:rsid w:val="009D781B"/>
    <w:rsid w:val="009E0048"/>
    <w:rsid w:val="009E03E0"/>
    <w:rsid w:val="009E048A"/>
    <w:rsid w:val="009E0C52"/>
    <w:rsid w:val="009E46ED"/>
    <w:rsid w:val="009E4D51"/>
    <w:rsid w:val="009E66F2"/>
    <w:rsid w:val="009E6A2B"/>
    <w:rsid w:val="009E7B94"/>
    <w:rsid w:val="009E7BB3"/>
    <w:rsid w:val="009F125D"/>
    <w:rsid w:val="009F3034"/>
    <w:rsid w:val="009F4BC9"/>
    <w:rsid w:val="009F60BC"/>
    <w:rsid w:val="009F699B"/>
    <w:rsid w:val="00A014A7"/>
    <w:rsid w:val="00A024D3"/>
    <w:rsid w:val="00A026CA"/>
    <w:rsid w:val="00A04598"/>
    <w:rsid w:val="00A04B0D"/>
    <w:rsid w:val="00A04BAB"/>
    <w:rsid w:val="00A06050"/>
    <w:rsid w:val="00A10578"/>
    <w:rsid w:val="00A10AFE"/>
    <w:rsid w:val="00A10D2D"/>
    <w:rsid w:val="00A10E25"/>
    <w:rsid w:val="00A11629"/>
    <w:rsid w:val="00A128F9"/>
    <w:rsid w:val="00A12932"/>
    <w:rsid w:val="00A12A81"/>
    <w:rsid w:val="00A12C29"/>
    <w:rsid w:val="00A13B1A"/>
    <w:rsid w:val="00A13B79"/>
    <w:rsid w:val="00A151C3"/>
    <w:rsid w:val="00A159A0"/>
    <w:rsid w:val="00A15ECF"/>
    <w:rsid w:val="00A1678C"/>
    <w:rsid w:val="00A16B84"/>
    <w:rsid w:val="00A20AC1"/>
    <w:rsid w:val="00A2190E"/>
    <w:rsid w:val="00A21E60"/>
    <w:rsid w:val="00A22251"/>
    <w:rsid w:val="00A222EA"/>
    <w:rsid w:val="00A22461"/>
    <w:rsid w:val="00A226AD"/>
    <w:rsid w:val="00A227EE"/>
    <w:rsid w:val="00A23944"/>
    <w:rsid w:val="00A23BF9"/>
    <w:rsid w:val="00A247E3"/>
    <w:rsid w:val="00A25030"/>
    <w:rsid w:val="00A258B4"/>
    <w:rsid w:val="00A26116"/>
    <w:rsid w:val="00A266DB"/>
    <w:rsid w:val="00A27C2B"/>
    <w:rsid w:val="00A303DE"/>
    <w:rsid w:val="00A30961"/>
    <w:rsid w:val="00A313C4"/>
    <w:rsid w:val="00A32076"/>
    <w:rsid w:val="00A3211D"/>
    <w:rsid w:val="00A33C87"/>
    <w:rsid w:val="00A346F6"/>
    <w:rsid w:val="00A34ABE"/>
    <w:rsid w:val="00A36407"/>
    <w:rsid w:val="00A36BDB"/>
    <w:rsid w:val="00A36FFC"/>
    <w:rsid w:val="00A37434"/>
    <w:rsid w:val="00A411E2"/>
    <w:rsid w:val="00A41BB6"/>
    <w:rsid w:val="00A41ECE"/>
    <w:rsid w:val="00A42029"/>
    <w:rsid w:val="00A42AD5"/>
    <w:rsid w:val="00A443EF"/>
    <w:rsid w:val="00A44B96"/>
    <w:rsid w:val="00A458C5"/>
    <w:rsid w:val="00A45C23"/>
    <w:rsid w:val="00A45EB8"/>
    <w:rsid w:val="00A4622C"/>
    <w:rsid w:val="00A46681"/>
    <w:rsid w:val="00A46A1E"/>
    <w:rsid w:val="00A47E9E"/>
    <w:rsid w:val="00A50814"/>
    <w:rsid w:val="00A508E6"/>
    <w:rsid w:val="00A50C94"/>
    <w:rsid w:val="00A514D4"/>
    <w:rsid w:val="00A51610"/>
    <w:rsid w:val="00A5172C"/>
    <w:rsid w:val="00A52BC7"/>
    <w:rsid w:val="00A531B1"/>
    <w:rsid w:val="00A53630"/>
    <w:rsid w:val="00A5373E"/>
    <w:rsid w:val="00A537AB"/>
    <w:rsid w:val="00A53C17"/>
    <w:rsid w:val="00A54E70"/>
    <w:rsid w:val="00A55CC1"/>
    <w:rsid w:val="00A56FCE"/>
    <w:rsid w:val="00A57A4A"/>
    <w:rsid w:val="00A57A9B"/>
    <w:rsid w:val="00A6190B"/>
    <w:rsid w:val="00A63514"/>
    <w:rsid w:val="00A64981"/>
    <w:rsid w:val="00A64F79"/>
    <w:rsid w:val="00A66509"/>
    <w:rsid w:val="00A6698C"/>
    <w:rsid w:val="00A66B39"/>
    <w:rsid w:val="00A66B40"/>
    <w:rsid w:val="00A67F9A"/>
    <w:rsid w:val="00A715D8"/>
    <w:rsid w:val="00A719CA"/>
    <w:rsid w:val="00A727F2"/>
    <w:rsid w:val="00A76128"/>
    <w:rsid w:val="00A76161"/>
    <w:rsid w:val="00A76FE0"/>
    <w:rsid w:val="00A77361"/>
    <w:rsid w:val="00A775C8"/>
    <w:rsid w:val="00A80986"/>
    <w:rsid w:val="00A81A2C"/>
    <w:rsid w:val="00A8291B"/>
    <w:rsid w:val="00A82AAF"/>
    <w:rsid w:val="00A847F8"/>
    <w:rsid w:val="00A864C4"/>
    <w:rsid w:val="00A86E35"/>
    <w:rsid w:val="00A9073E"/>
    <w:rsid w:val="00A93708"/>
    <w:rsid w:val="00A9449D"/>
    <w:rsid w:val="00A97541"/>
    <w:rsid w:val="00AA076C"/>
    <w:rsid w:val="00AA0A8A"/>
    <w:rsid w:val="00AA0B9C"/>
    <w:rsid w:val="00AA0EA0"/>
    <w:rsid w:val="00AA13B9"/>
    <w:rsid w:val="00AA159D"/>
    <w:rsid w:val="00AA1AF2"/>
    <w:rsid w:val="00AA1BF8"/>
    <w:rsid w:val="00AA1CF0"/>
    <w:rsid w:val="00AA24F9"/>
    <w:rsid w:val="00AA32CC"/>
    <w:rsid w:val="00AA3813"/>
    <w:rsid w:val="00AA3D25"/>
    <w:rsid w:val="00AA4B3D"/>
    <w:rsid w:val="00AA666A"/>
    <w:rsid w:val="00AA7553"/>
    <w:rsid w:val="00AA7CEF"/>
    <w:rsid w:val="00AB0DA2"/>
    <w:rsid w:val="00AB1DCD"/>
    <w:rsid w:val="00AB3578"/>
    <w:rsid w:val="00AB4000"/>
    <w:rsid w:val="00AB4713"/>
    <w:rsid w:val="00AB471A"/>
    <w:rsid w:val="00AB63F9"/>
    <w:rsid w:val="00AB6CF2"/>
    <w:rsid w:val="00AB7CDF"/>
    <w:rsid w:val="00AC2EEB"/>
    <w:rsid w:val="00AC3C33"/>
    <w:rsid w:val="00AC46BF"/>
    <w:rsid w:val="00AC4953"/>
    <w:rsid w:val="00AC545F"/>
    <w:rsid w:val="00AC6CCC"/>
    <w:rsid w:val="00AC722B"/>
    <w:rsid w:val="00AD082E"/>
    <w:rsid w:val="00AD1307"/>
    <w:rsid w:val="00AD1545"/>
    <w:rsid w:val="00AD16FD"/>
    <w:rsid w:val="00AD1C23"/>
    <w:rsid w:val="00AD1D11"/>
    <w:rsid w:val="00AD286B"/>
    <w:rsid w:val="00AD28F1"/>
    <w:rsid w:val="00AD2ED2"/>
    <w:rsid w:val="00AD532F"/>
    <w:rsid w:val="00AD6B19"/>
    <w:rsid w:val="00AD6D30"/>
    <w:rsid w:val="00AD6E39"/>
    <w:rsid w:val="00AE05E5"/>
    <w:rsid w:val="00AE1E9C"/>
    <w:rsid w:val="00AE202C"/>
    <w:rsid w:val="00AE311F"/>
    <w:rsid w:val="00AE31D4"/>
    <w:rsid w:val="00AE537B"/>
    <w:rsid w:val="00AE599B"/>
    <w:rsid w:val="00AE78BA"/>
    <w:rsid w:val="00AF02F8"/>
    <w:rsid w:val="00AF0345"/>
    <w:rsid w:val="00AF0A2D"/>
    <w:rsid w:val="00AF16CB"/>
    <w:rsid w:val="00AF30CA"/>
    <w:rsid w:val="00AF56EC"/>
    <w:rsid w:val="00AF676A"/>
    <w:rsid w:val="00AF7017"/>
    <w:rsid w:val="00AF7BE3"/>
    <w:rsid w:val="00AF7C1C"/>
    <w:rsid w:val="00AF7E7B"/>
    <w:rsid w:val="00B03EC3"/>
    <w:rsid w:val="00B04193"/>
    <w:rsid w:val="00B05B8D"/>
    <w:rsid w:val="00B06ABD"/>
    <w:rsid w:val="00B06B13"/>
    <w:rsid w:val="00B07464"/>
    <w:rsid w:val="00B11AB6"/>
    <w:rsid w:val="00B11CF9"/>
    <w:rsid w:val="00B12297"/>
    <w:rsid w:val="00B12401"/>
    <w:rsid w:val="00B129E7"/>
    <w:rsid w:val="00B130C3"/>
    <w:rsid w:val="00B13559"/>
    <w:rsid w:val="00B1428F"/>
    <w:rsid w:val="00B142D6"/>
    <w:rsid w:val="00B149AC"/>
    <w:rsid w:val="00B14CF8"/>
    <w:rsid w:val="00B16872"/>
    <w:rsid w:val="00B20812"/>
    <w:rsid w:val="00B20A57"/>
    <w:rsid w:val="00B218DF"/>
    <w:rsid w:val="00B223C0"/>
    <w:rsid w:val="00B22443"/>
    <w:rsid w:val="00B2290F"/>
    <w:rsid w:val="00B2373D"/>
    <w:rsid w:val="00B264B9"/>
    <w:rsid w:val="00B272E0"/>
    <w:rsid w:val="00B275D0"/>
    <w:rsid w:val="00B27D1A"/>
    <w:rsid w:val="00B27DFD"/>
    <w:rsid w:val="00B303F7"/>
    <w:rsid w:val="00B3113F"/>
    <w:rsid w:val="00B311A7"/>
    <w:rsid w:val="00B317B3"/>
    <w:rsid w:val="00B339EB"/>
    <w:rsid w:val="00B34D3B"/>
    <w:rsid w:val="00B34D6D"/>
    <w:rsid w:val="00B34ED9"/>
    <w:rsid w:val="00B35152"/>
    <w:rsid w:val="00B35663"/>
    <w:rsid w:val="00B37849"/>
    <w:rsid w:val="00B37F66"/>
    <w:rsid w:val="00B403EE"/>
    <w:rsid w:val="00B40E4F"/>
    <w:rsid w:val="00B42981"/>
    <w:rsid w:val="00B42EC2"/>
    <w:rsid w:val="00B44BF8"/>
    <w:rsid w:val="00B45577"/>
    <w:rsid w:val="00B500F7"/>
    <w:rsid w:val="00B52289"/>
    <w:rsid w:val="00B522C2"/>
    <w:rsid w:val="00B604B5"/>
    <w:rsid w:val="00B6093C"/>
    <w:rsid w:val="00B60F8A"/>
    <w:rsid w:val="00B611C9"/>
    <w:rsid w:val="00B61DF7"/>
    <w:rsid w:val="00B61F7D"/>
    <w:rsid w:val="00B621E5"/>
    <w:rsid w:val="00B637A7"/>
    <w:rsid w:val="00B64362"/>
    <w:rsid w:val="00B65687"/>
    <w:rsid w:val="00B65D4C"/>
    <w:rsid w:val="00B66A48"/>
    <w:rsid w:val="00B66AC7"/>
    <w:rsid w:val="00B66F95"/>
    <w:rsid w:val="00B67080"/>
    <w:rsid w:val="00B679CE"/>
    <w:rsid w:val="00B70731"/>
    <w:rsid w:val="00B70B0D"/>
    <w:rsid w:val="00B70D4F"/>
    <w:rsid w:val="00B71773"/>
    <w:rsid w:val="00B719EB"/>
    <w:rsid w:val="00B71DD4"/>
    <w:rsid w:val="00B720CE"/>
    <w:rsid w:val="00B74CC5"/>
    <w:rsid w:val="00B75126"/>
    <w:rsid w:val="00B75846"/>
    <w:rsid w:val="00B767CF"/>
    <w:rsid w:val="00B76CFB"/>
    <w:rsid w:val="00B7718D"/>
    <w:rsid w:val="00B80C95"/>
    <w:rsid w:val="00B80F21"/>
    <w:rsid w:val="00B81F1B"/>
    <w:rsid w:val="00B83991"/>
    <w:rsid w:val="00B843AB"/>
    <w:rsid w:val="00B85E87"/>
    <w:rsid w:val="00B8602F"/>
    <w:rsid w:val="00B861AA"/>
    <w:rsid w:val="00B86B7A"/>
    <w:rsid w:val="00B86EF7"/>
    <w:rsid w:val="00B9081B"/>
    <w:rsid w:val="00B90FCB"/>
    <w:rsid w:val="00B91BBB"/>
    <w:rsid w:val="00B92FA3"/>
    <w:rsid w:val="00B940F6"/>
    <w:rsid w:val="00B9460F"/>
    <w:rsid w:val="00B94A6B"/>
    <w:rsid w:val="00B9576F"/>
    <w:rsid w:val="00B96096"/>
    <w:rsid w:val="00B96414"/>
    <w:rsid w:val="00BA0834"/>
    <w:rsid w:val="00BA27B5"/>
    <w:rsid w:val="00BA2863"/>
    <w:rsid w:val="00BA32A6"/>
    <w:rsid w:val="00BA41C3"/>
    <w:rsid w:val="00BA45B7"/>
    <w:rsid w:val="00BA45F1"/>
    <w:rsid w:val="00BA4626"/>
    <w:rsid w:val="00BA4DBE"/>
    <w:rsid w:val="00BA7C81"/>
    <w:rsid w:val="00BB0482"/>
    <w:rsid w:val="00BB0542"/>
    <w:rsid w:val="00BB07F0"/>
    <w:rsid w:val="00BB1B12"/>
    <w:rsid w:val="00BB359A"/>
    <w:rsid w:val="00BB4E0D"/>
    <w:rsid w:val="00BB4F0A"/>
    <w:rsid w:val="00BB5608"/>
    <w:rsid w:val="00BB5BAA"/>
    <w:rsid w:val="00BB5F91"/>
    <w:rsid w:val="00BB78FE"/>
    <w:rsid w:val="00BB7CFB"/>
    <w:rsid w:val="00BB7D31"/>
    <w:rsid w:val="00BC0342"/>
    <w:rsid w:val="00BC1013"/>
    <w:rsid w:val="00BC1696"/>
    <w:rsid w:val="00BC217A"/>
    <w:rsid w:val="00BC3400"/>
    <w:rsid w:val="00BC4342"/>
    <w:rsid w:val="00BC4763"/>
    <w:rsid w:val="00BC4874"/>
    <w:rsid w:val="00BC603D"/>
    <w:rsid w:val="00BC6636"/>
    <w:rsid w:val="00BC6642"/>
    <w:rsid w:val="00BC6797"/>
    <w:rsid w:val="00BC753E"/>
    <w:rsid w:val="00BC7B67"/>
    <w:rsid w:val="00BD03DB"/>
    <w:rsid w:val="00BD0EDE"/>
    <w:rsid w:val="00BD1026"/>
    <w:rsid w:val="00BD2246"/>
    <w:rsid w:val="00BD23BF"/>
    <w:rsid w:val="00BD262D"/>
    <w:rsid w:val="00BD2705"/>
    <w:rsid w:val="00BD2B9B"/>
    <w:rsid w:val="00BD2F76"/>
    <w:rsid w:val="00BD33FA"/>
    <w:rsid w:val="00BD4827"/>
    <w:rsid w:val="00BD54E4"/>
    <w:rsid w:val="00BD5946"/>
    <w:rsid w:val="00BD617B"/>
    <w:rsid w:val="00BD6935"/>
    <w:rsid w:val="00BD7710"/>
    <w:rsid w:val="00BE0AC7"/>
    <w:rsid w:val="00BE0DF6"/>
    <w:rsid w:val="00BE18A8"/>
    <w:rsid w:val="00BE18F6"/>
    <w:rsid w:val="00BE1940"/>
    <w:rsid w:val="00BE2608"/>
    <w:rsid w:val="00BE26FE"/>
    <w:rsid w:val="00BE2760"/>
    <w:rsid w:val="00BE4517"/>
    <w:rsid w:val="00BE5A74"/>
    <w:rsid w:val="00BE6B06"/>
    <w:rsid w:val="00BF08BC"/>
    <w:rsid w:val="00BF1F25"/>
    <w:rsid w:val="00BF3891"/>
    <w:rsid w:val="00BF4194"/>
    <w:rsid w:val="00BF7822"/>
    <w:rsid w:val="00BF7AB1"/>
    <w:rsid w:val="00BF7B70"/>
    <w:rsid w:val="00C00133"/>
    <w:rsid w:val="00C00214"/>
    <w:rsid w:val="00C011C5"/>
    <w:rsid w:val="00C01740"/>
    <w:rsid w:val="00C0203B"/>
    <w:rsid w:val="00C020C3"/>
    <w:rsid w:val="00C0274C"/>
    <w:rsid w:val="00C02CFA"/>
    <w:rsid w:val="00C03376"/>
    <w:rsid w:val="00C0386A"/>
    <w:rsid w:val="00C038B1"/>
    <w:rsid w:val="00C03A9A"/>
    <w:rsid w:val="00C0462A"/>
    <w:rsid w:val="00C05E82"/>
    <w:rsid w:val="00C05F4C"/>
    <w:rsid w:val="00C05F76"/>
    <w:rsid w:val="00C066BE"/>
    <w:rsid w:val="00C06CA2"/>
    <w:rsid w:val="00C073E7"/>
    <w:rsid w:val="00C079B4"/>
    <w:rsid w:val="00C07FBB"/>
    <w:rsid w:val="00C106CD"/>
    <w:rsid w:val="00C1083F"/>
    <w:rsid w:val="00C1092B"/>
    <w:rsid w:val="00C10DFF"/>
    <w:rsid w:val="00C10EB7"/>
    <w:rsid w:val="00C1159D"/>
    <w:rsid w:val="00C1206B"/>
    <w:rsid w:val="00C13153"/>
    <w:rsid w:val="00C1408A"/>
    <w:rsid w:val="00C146E9"/>
    <w:rsid w:val="00C156F2"/>
    <w:rsid w:val="00C15C58"/>
    <w:rsid w:val="00C176E2"/>
    <w:rsid w:val="00C17F4B"/>
    <w:rsid w:val="00C20A7A"/>
    <w:rsid w:val="00C21D54"/>
    <w:rsid w:val="00C220EE"/>
    <w:rsid w:val="00C22B2E"/>
    <w:rsid w:val="00C22E5D"/>
    <w:rsid w:val="00C22F48"/>
    <w:rsid w:val="00C23794"/>
    <w:rsid w:val="00C2485A"/>
    <w:rsid w:val="00C25C82"/>
    <w:rsid w:val="00C25F82"/>
    <w:rsid w:val="00C25FAB"/>
    <w:rsid w:val="00C2790E"/>
    <w:rsid w:val="00C27B73"/>
    <w:rsid w:val="00C30772"/>
    <w:rsid w:val="00C30DBC"/>
    <w:rsid w:val="00C3214C"/>
    <w:rsid w:val="00C32824"/>
    <w:rsid w:val="00C32A8F"/>
    <w:rsid w:val="00C3333F"/>
    <w:rsid w:val="00C333A6"/>
    <w:rsid w:val="00C34009"/>
    <w:rsid w:val="00C36EA0"/>
    <w:rsid w:val="00C37C23"/>
    <w:rsid w:val="00C40547"/>
    <w:rsid w:val="00C40884"/>
    <w:rsid w:val="00C40B55"/>
    <w:rsid w:val="00C40C99"/>
    <w:rsid w:val="00C41E5F"/>
    <w:rsid w:val="00C42870"/>
    <w:rsid w:val="00C42DE9"/>
    <w:rsid w:val="00C431C0"/>
    <w:rsid w:val="00C43FAE"/>
    <w:rsid w:val="00C44465"/>
    <w:rsid w:val="00C45685"/>
    <w:rsid w:val="00C4691B"/>
    <w:rsid w:val="00C46C42"/>
    <w:rsid w:val="00C473E3"/>
    <w:rsid w:val="00C4778D"/>
    <w:rsid w:val="00C506F8"/>
    <w:rsid w:val="00C50CF1"/>
    <w:rsid w:val="00C50D2D"/>
    <w:rsid w:val="00C519D5"/>
    <w:rsid w:val="00C52C60"/>
    <w:rsid w:val="00C53CE7"/>
    <w:rsid w:val="00C5467E"/>
    <w:rsid w:val="00C56485"/>
    <w:rsid w:val="00C5653E"/>
    <w:rsid w:val="00C60216"/>
    <w:rsid w:val="00C62C9F"/>
    <w:rsid w:val="00C62F1F"/>
    <w:rsid w:val="00C6375F"/>
    <w:rsid w:val="00C640BD"/>
    <w:rsid w:val="00C64599"/>
    <w:rsid w:val="00C647AD"/>
    <w:rsid w:val="00C65761"/>
    <w:rsid w:val="00C65BC7"/>
    <w:rsid w:val="00C661A7"/>
    <w:rsid w:val="00C6626F"/>
    <w:rsid w:val="00C66380"/>
    <w:rsid w:val="00C70903"/>
    <w:rsid w:val="00C711AA"/>
    <w:rsid w:val="00C71D65"/>
    <w:rsid w:val="00C7234E"/>
    <w:rsid w:val="00C72F02"/>
    <w:rsid w:val="00C736F8"/>
    <w:rsid w:val="00C73C96"/>
    <w:rsid w:val="00C75835"/>
    <w:rsid w:val="00C7649C"/>
    <w:rsid w:val="00C779FD"/>
    <w:rsid w:val="00C77F35"/>
    <w:rsid w:val="00C80277"/>
    <w:rsid w:val="00C81FCD"/>
    <w:rsid w:val="00C82496"/>
    <w:rsid w:val="00C833D9"/>
    <w:rsid w:val="00C84018"/>
    <w:rsid w:val="00C84D0C"/>
    <w:rsid w:val="00C8655F"/>
    <w:rsid w:val="00C87382"/>
    <w:rsid w:val="00C87793"/>
    <w:rsid w:val="00C87B35"/>
    <w:rsid w:val="00C90639"/>
    <w:rsid w:val="00C9090F"/>
    <w:rsid w:val="00C90D0E"/>
    <w:rsid w:val="00C90F7A"/>
    <w:rsid w:val="00C9427E"/>
    <w:rsid w:val="00C94E28"/>
    <w:rsid w:val="00C95341"/>
    <w:rsid w:val="00C95359"/>
    <w:rsid w:val="00C97307"/>
    <w:rsid w:val="00CA0DB7"/>
    <w:rsid w:val="00CA1BAE"/>
    <w:rsid w:val="00CA28F0"/>
    <w:rsid w:val="00CA2AAF"/>
    <w:rsid w:val="00CA3EBB"/>
    <w:rsid w:val="00CA4DA5"/>
    <w:rsid w:val="00CA543A"/>
    <w:rsid w:val="00CA56FD"/>
    <w:rsid w:val="00CA5BCE"/>
    <w:rsid w:val="00CA5C0F"/>
    <w:rsid w:val="00CA67B8"/>
    <w:rsid w:val="00CA69B7"/>
    <w:rsid w:val="00CA702D"/>
    <w:rsid w:val="00CA73E1"/>
    <w:rsid w:val="00CA757C"/>
    <w:rsid w:val="00CB1077"/>
    <w:rsid w:val="00CB1C21"/>
    <w:rsid w:val="00CB2BE9"/>
    <w:rsid w:val="00CB4418"/>
    <w:rsid w:val="00CB49BE"/>
    <w:rsid w:val="00CB4A07"/>
    <w:rsid w:val="00CB50A9"/>
    <w:rsid w:val="00CB569F"/>
    <w:rsid w:val="00CB5B5F"/>
    <w:rsid w:val="00CB6104"/>
    <w:rsid w:val="00CB6976"/>
    <w:rsid w:val="00CB72F5"/>
    <w:rsid w:val="00CB77FC"/>
    <w:rsid w:val="00CC1BA4"/>
    <w:rsid w:val="00CC245E"/>
    <w:rsid w:val="00CC325E"/>
    <w:rsid w:val="00CC3B63"/>
    <w:rsid w:val="00CC4200"/>
    <w:rsid w:val="00CC5734"/>
    <w:rsid w:val="00CC581A"/>
    <w:rsid w:val="00CC6B63"/>
    <w:rsid w:val="00CC6BF8"/>
    <w:rsid w:val="00CC6F23"/>
    <w:rsid w:val="00CD0C12"/>
    <w:rsid w:val="00CD1492"/>
    <w:rsid w:val="00CD2693"/>
    <w:rsid w:val="00CD2B2B"/>
    <w:rsid w:val="00CD3833"/>
    <w:rsid w:val="00CD3A63"/>
    <w:rsid w:val="00CD3B66"/>
    <w:rsid w:val="00CD48FB"/>
    <w:rsid w:val="00CD5FE7"/>
    <w:rsid w:val="00CD6057"/>
    <w:rsid w:val="00CD61D0"/>
    <w:rsid w:val="00CD72FD"/>
    <w:rsid w:val="00CE00EA"/>
    <w:rsid w:val="00CE10D9"/>
    <w:rsid w:val="00CE4D76"/>
    <w:rsid w:val="00CE54EF"/>
    <w:rsid w:val="00CE6326"/>
    <w:rsid w:val="00CE7012"/>
    <w:rsid w:val="00CE73C0"/>
    <w:rsid w:val="00CE7414"/>
    <w:rsid w:val="00CE7477"/>
    <w:rsid w:val="00CF0E34"/>
    <w:rsid w:val="00CF15F5"/>
    <w:rsid w:val="00CF2796"/>
    <w:rsid w:val="00CF2AB3"/>
    <w:rsid w:val="00CF2B55"/>
    <w:rsid w:val="00CF2C04"/>
    <w:rsid w:val="00CF2FC0"/>
    <w:rsid w:val="00CF30FD"/>
    <w:rsid w:val="00CF3B11"/>
    <w:rsid w:val="00CF4242"/>
    <w:rsid w:val="00CF4901"/>
    <w:rsid w:val="00CF4ADE"/>
    <w:rsid w:val="00CF56ED"/>
    <w:rsid w:val="00CF59B8"/>
    <w:rsid w:val="00CF663B"/>
    <w:rsid w:val="00CF6966"/>
    <w:rsid w:val="00CF7C47"/>
    <w:rsid w:val="00CF7CA9"/>
    <w:rsid w:val="00D00309"/>
    <w:rsid w:val="00D0098D"/>
    <w:rsid w:val="00D01E04"/>
    <w:rsid w:val="00D029E8"/>
    <w:rsid w:val="00D0341F"/>
    <w:rsid w:val="00D037E1"/>
    <w:rsid w:val="00D03FF9"/>
    <w:rsid w:val="00D04266"/>
    <w:rsid w:val="00D04D46"/>
    <w:rsid w:val="00D063E9"/>
    <w:rsid w:val="00D06941"/>
    <w:rsid w:val="00D07042"/>
    <w:rsid w:val="00D100B0"/>
    <w:rsid w:val="00D116C7"/>
    <w:rsid w:val="00D11B88"/>
    <w:rsid w:val="00D11DC9"/>
    <w:rsid w:val="00D12131"/>
    <w:rsid w:val="00D13111"/>
    <w:rsid w:val="00D14079"/>
    <w:rsid w:val="00D14E59"/>
    <w:rsid w:val="00D15820"/>
    <w:rsid w:val="00D166BF"/>
    <w:rsid w:val="00D16BDF"/>
    <w:rsid w:val="00D17EC3"/>
    <w:rsid w:val="00D22563"/>
    <w:rsid w:val="00D2260E"/>
    <w:rsid w:val="00D23054"/>
    <w:rsid w:val="00D23974"/>
    <w:rsid w:val="00D23C7A"/>
    <w:rsid w:val="00D24077"/>
    <w:rsid w:val="00D24B62"/>
    <w:rsid w:val="00D25337"/>
    <w:rsid w:val="00D2535D"/>
    <w:rsid w:val="00D26BC3"/>
    <w:rsid w:val="00D272AF"/>
    <w:rsid w:val="00D275BF"/>
    <w:rsid w:val="00D27ACE"/>
    <w:rsid w:val="00D30A67"/>
    <w:rsid w:val="00D31967"/>
    <w:rsid w:val="00D31C42"/>
    <w:rsid w:val="00D34169"/>
    <w:rsid w:val="00D341C8"/>
    <w:rsid w:val="00D3444C"/>
    <w:rsid w:val="00D34C81"/>
    <w:rsid w:val="00D363EB"/>
    <w:rsid w:val="00D36ADD"/>
    <w:rsid w:val="00D37300"/>
    <w:rsid w:val="00D37E0C"/>
    <w:rsid w:val="00D4095B"/>
    <w:rsid w:val="00D41641"/>
    <w:rsid w:val="00D4208F"/>
    <w:rsid w:val="00D42C55"/>
    <w:rsid w:val="00D43A4E"/>
    <w:rsid w:val="00D44059"/>
    <w:rsid w:val="00D441F6"/>
    <w:rsid w:val="00D44DF3"/>
    <w:rsid w:val="00D45E15"/>
    <w:rsid w:val="00D47004"/>
    <w:rsid w:val="00D47179"/>
    <w:rsid w:val="00D4746D"/>
    <w:rsid w:val="00D506B8"/>
    <w:rsid w:val="00D50E19"/>
    <w:rsid w:val="00D51192"/>
    <w:rsid w:val="00D51539"/>
    <w:rsid w:val="00D51FE4"/>
    <w:rsid w:val="00D52765"/>
    <w:rsid w:val="00D541A0"/>
    <w:rsid w:val="00D544CA"/>
    <w:rsid w:val="00D5489C"/>
    <w:rsid w:val="00D54E0D"/>
    <w:rsid w:val="00D56024"/>
    <w:rsid w:val="00D564F5"/>
    <w:rsid w:val="00D571A9"/>
    <w:rsid w:val="00D57A9C"/>
    <w:rsid w:val="00D61327"/>
    <w:rsid w:val="00D61405"/>
    <w:rsid w:val="00D61408"/>
    <w:rsid w:val="00D61C46"/>
    <w:rsid w:val="00D61E27"/>
    <w:rsid w:val="00D6333D"/>
    <w:rsid w:val="00D6339A"/>
    <w:rsid w:val="00D63487"/>
    <w:rsid w:val="00D63C70"/>
    <w:rsid w:val="00D64141"/>
    <w:rsid w:val="00D65491"/>
    <w:rsid w:val="00D66550"/>
    <w:rsid w:val="00D66887"/>
    <w:rsid w:val="00D66D45"/>
    <w:rsid w:val="00D66EB8"/>
    <w:rsid w:val="00D67F90"/>
    <w:rsid w:val="00D70483"/>
    <w:rsid w:val="00D70D5D"/>
    <w:rsid w:val="00D7251B"/>
    <w:rsid w:val="00D729CA"/>
    <w:rsid w:val="00D732A6"/>
    <w:rsid w:val="00D738D4"/>
    <w:rsid w:val="00D739B9"/>
    <w:rsid w:val="00D745C7"/>
    <w:rsid w:val="00D7488F"/>
    <w:rsid w:val="00D74EAA"/>
    <w:rsid w:val="00D75A96"/>
    <w:rsid w:val="00D75B43"/>
    <w:rsid w:val="00D7643C"/>
    <w:rsid w:val="00D769D9"/>
    <w:rsid w:val="00D77951"/>
    <w:rsid w:val="00D80095"/>
    <w:rsid w:val="00D80F40"/>
    <w:rsid w:val="00D81A20"/>
    <w:rsid w:val="00D81B37"/>
    <w:rsid w:val="00D826D9"/>
    <w:rsid w:val="00D82FF5"/>
    <w:rsid w:val="00D8309D"/>
    <w:rsid w:val="00D84F2F"/>
    <w:rsid w:val="00D87D8F"/>
    <w:rsid w:val="00D91C44"/>
    <w:rsid w:val="00D91DB7"/>
    <w:rsid w:val="00D92126"/>
    <w:rsid w:val="00D927E3"/>
    <w:rsid w:val="00D93269"/>
    <w:rsid w:val="00D93EB3"/>
    <w:rsid w:val="00D95AC8"/>
    <w:rsid w:val="00D96BD0"/>
    <w:rsid w:val="00DA11E1"/>
    <w:rsid w:val="00DA1656"/>
    <w:rsid w:val="00DA1674"/>
    <w:rsid w:val="00DA17A7"/>
    <w:rsid w:val="00DA222F"/>
    <w:rsid w:val="00DA2D2F"/>
    <w:rsid w:val="00DA3479"/>
    <w:rsid w:val="00DA35B5"/>
    <w:rsid w:val="00DA35B8"/>
    <w:rsid w:val="00DA3874"/>
    <w:rsid w:val="00DA3C29"/>
    <w:rsid w:val="00DA4644"/>
    <w:rsid w:val="00DA4BDD"/>
    <w:rsid w:val="00DA593E"/>
    <w:rsid w:val="00DA61A4"/>
    <w:rsid w:val="00DA62EB"/>
    <w:rsid w:val="00DA7BD1"/>
    <w:rsid w:val="00DA7C04"/>
    <w:rsid w:val="00DA7E10"/>
    <w:rsid w:val="00DA7F9D"/>
    <w:rsid w:val="00DB0883"/>
    <w:rsid w:val="00DB093A"/>
    <w:rsid w:val="00DB0F2C"/>
    <w:rsid w:val="00DB2E10"/>
    <w:rsid w:val="00DB43B7"/>
    <w:rsid w:val="00DB5256"/>
    <w:rsid w:val="00DB70A1"/>
    <w:rsid w:val="00DC0338"/>
    <w:rsid w:val="00DC1273"/>
    <w:rsid w:val="00DC17E6"/>
    <w:rsid w:val="00DC1FB7"/>
    <w:rsid w:val="00DC3426"/>
    <w:rsid w:val="00DC4F3C"/>
    <w:rsid w:val="00DC66CA"/>
    <w:rsid w:val="00DC773C"/>
    <w:rsid w:val="00DC7779"/>
    <w:rsid w:val="00DC7B64"/>
    <w:rsid w:val="00DD066A"/>
    <w:rsid w:val="00DD1489"/>
    <w:rsid w:val="00DD2E0D"/>
    <w:rsid w:val="00DD36DA"/>
    <w:rsid w:val="00DD36F6"/>
    <w:rsid w:val="00DD37B4"/>
    <w:rsid w:val="00DD401E"/>
    <w:rsid w:val="00DD430D"/>
    <w:rsid w:val="00DD4E2B"/>
    <w:rsid w:val="00DD4F1F"/>
    <w:rsid w:val="00DD56E1"/>
    <w:rsid w:val="00DD57EC"/>
    <w:rsid w:val="00DD69D5"/>
    <w:rsid w:val="00DD6E8E"/>
    <w:rsid w:val="00DD6FA2"/>
    <w:rsid w:val="00DD7C48"/>
    <w:rsid w:val="00DE01BC"/>
    <w:rsid w:val="00DE0416"/>
    <w:rsid w:val="00DE12C5"/>
    <w:rsid w:val="00DE1BC9"/>
    <w:rsid w:val="00DE282D"/>
    <w:rsid w:val="00DE329C"/>
    <w:rsid w:val="00DE3310"/>
    <w:rsid w:val="00DE332F"/>
    <w:rsid w:val="00DE34FA"/>
    <w:rsid w:val="00DE37F2"/>
    <w:rsid w:val="00DE3C7B"/>
    <w:rsid w:val="00DE3E5A"/>
    <w:rsid w:val="00DE4B9B"/>
    <w:rsid w:val="00DE4C72"/>
    <w:rsid w:val="00DE4C92"/>
    <w:rsid w:val="00DE55C5"/>
    <w:rsid w:val="00DE61B5"/>
    <w:rsid w:val="00DE6F24"/>
    <w:rsid w:val="00DE7852"/>
    <w:rsid w:val="00DE7EEE"/>
    <w:rsid w:val="00DF1145"/>
    <w:rsid w:val="00DF11B9"/>
    <w:rsid w:val="00DF16DF"/>
    <w:rsid w:val="00DF17CA"/>
    <w:rsid w:val="00DF22C1"/>
    <w:rsid w:val="00DF23CF"/>
    <w:rsid w:val="00DF338A"/>
    <w:rsid w:val="00DF373E"/>
    <w:rsid w:val="00DF3D2F"/>
    <w:rsid w:val="00DF3F1C"/>
    <w:rsid w:val="00DF45E1"/>
    <w:rsid w:val="00DF5949"/>
    <w:rsid w:val="00DF6AA9"/>
    <w:rsid w:val="00DF787F"/>
    <w:rsid w:val="00E0031C"/>
    <w:rsid w:val="00E00F9C"/>
    <w:rsid w:val="00E0136D"/>
    <w:rsid w:val="00E01B28"/>
    <w:rsid w:val="00E0318E"/>
    <w:rsid w:val="00E0335B"/>
    <w:rsid w:val="00E049B7"/>
    <w:rsid w:val="00E060CA"/>
    <w:rsid w:val="00E06180"/>
    <w:rsid w:val="00E07DA1"/>
    <w:rsid w:val="00E105B4"/>
    <w:rsid w:val="00E10938"/>
    <w:rsid w:val="00E11F31"/>
    <w:rsid w:val="00E12773"/>
    <w:rsid w:val="00E12BBC"/>
    <w:rsid w:val="00E14C09"/>
    <w:rsid w:val="00E14C1C"/>
    <w:rsid w:val="00E15104"/>
    <w:rsid w:val="00E15E03"/>
    <w:rsid w:val="00E16282"/>
    <w:rsid w:val="00E168AC"/>
    <w:rsid w:val="00E16D87"/>
    <w:rsid w:val="00E17242"/>
    <w:rsid w:val="00E178B3"/>
    <w:rsid w:val="00E205DC"/>
    <w:rsid w:val="00E2091C"/>
    <w:rsid w:val="00E211DD"/>
    <w:rsid w:val="00E2265F"/>
    <w:rsid w:val="00E22862"/>
    <w:rsid w:val="00E22CC1"/>
    <w:rsid w:val="00E240EE"/>
    <w:rsid w:val="00E242B3"/>
    <w:rsid w:val="00E248A5"/>
    <w:rsid w:val="00E2568D"/>
    <w:rsid w:val="00E260C0"/>
    <w:rsid w:val="00E26466"/>
    <w:rsid w:val="00E3103C"/>
    <w:rsid w:val="00E31527"/>
    <w:rsid w:val="00E31673"/>
    <w:rsid w:val="00E31AFF"/>
    <w:rsid w:val="00E32B75"/>
    <w:rsid w:val="00E332BD"/>
    <w:rsid w:val="00E34BD0"/>
    <w:rsid w:val="00E35348"/>
    <w:rsid w:val="00E3549C"/>
    <w:rsid w:val="00E358A3"/>
    <w:rsid w:val="00E35B8B"/>
    <w:rsid w:val="00E36E1A"/>
    <w:rsid w:val="00E37047"/>
    <w:rsid w:val="00E37DCF"/>
    <w:rsid w:val="00E40459"/>
    <w:rsid w:val="00E42050"/>
    <w:rsid w:val="00E42920"/>
    <w:rsid w:val="00E435F3"/>
    <w:rsid w:val="00E4398B"/>
    <w:rsid w:val="00E44B58"/>
    <w:rsid w:val="00E45426"/>
    <w:rsid w:val="00E4557E"/>
    <w:rsid w:val="00E45A81"/>
    <w:rsid w:val="00E45E28"/>
    <w:rsid w:val="00E4636C"/>
    <w:rsid w:val="00E46CAF"/>
    <w:rsid w:val="00E47D48"/>
    <w:rsid w:val="00E50EFD"/>
    <w:rsid w:val="00E50F3D"/>
    <w:rsid w:val="00E52602"/>
    <w:rsid w:val="00E5385B"/>
    <w:rsid w:val="00E55782"/>
    <w:rsid w:val="00E5748D"/>
    <w:rsid w:val="00E61CF6"/>
    <w:rsid w:val="00E635BA"/>
    <w:rsid w:val="00E645BE"/>
    <w:rsid w:val="00E6796A"/>
    <w:rsid w:val="00E6798E"/>
    <w:rsid w:val="00E70D84"/>
    <w:rsid w:val="00E710CC"/>
    <w:rsid w:val="00E71143"/>
    <w:rsid w:val="00E71CE0"/>
    <w:rsid w:val="00E72542"/>
    <w:rsid w:val="00E72701"/>
    <w:rsid w:val="00E72E41"/>
    <w:rsid w:val="00E75C0D"/>
    <w:rsid w:val="00E7771D"/>
    <w:rsid w:val="00E800B7"/>
    <w:rsid w:val="00E80735"/>
    <w:rsid w:val="00E80963"/>
    <w:rsid w:val="00E81181"/>
    <w:rsid w:val="00E81A6C"/>
    <w:rsid w:val="00E81BC6"/>
    <w:rsid w:val="00E82864"/>
    <w:rsid w:val="00E85BFF"/>
    <w:rsid w:val="00E85F7E"/>
    <w:rsid w:val="00E86A0B"/>
    <w:rsid w:val="00E909B9"/>
    <w:rsid w:val="00E91CD5"/>
    <w:rsid w:val="00E9372B"/>
    <w:rsid w:val="00E9378C"/>
    <w:rsid w:val="00E937F3"/>
    <w:rsid w:val="00E94684"/>
    <w:rsid w:val="00E948FA"/>
    <w:rsid w:val="00E96A50"/>
    <w:rsid w:val="00EA10E9"/>
    <w:rsid w:val="00EA119C"/>
    <w:rsid w:val="00EA1668"/>
    <w:rsid w:val="00EA38FE"/>
    <w:rsid w:val="00EA3D96"/>
    <w:rsid w:val="00EB0C16"/>
    <w:rsid w:val="00EB0E9F"/>
    <w:rsid w:val="00EB17A4"/>
    <w:rsid w:val="00EB2B56"/>
    <w:rsid w:val="00EB3942"/>
    <w:rsid w:val="00EB43AF"/>
    <w:rsid w:val="00EB47C3"/>
    <w:rsid w:val="00EB667B"/>
    <w:rsid w:val="00EB79D2"/>
    <w:rsid w:val="00EC07BE"/>
    <w:rsid w:val="00EC1654"/>
    <w:rsid w:val="00EC1828"/>
    <w:rsid w:val="00EC2066"/>
    <w:rsid w:val="00EC3A69"/>
    <w:rsid w:val="00EC4D62"/>
    <w:rsid w:val="00EC550F"/>
    <w:rsid w:val="00EC65FC"/>
    <w:rsid w:val="00ED009A"/>
    <w:rsid w:val="00ED0708"/>
    <w:rsid w:val="00ED1DB9"/>
    <w:rsid w:val="00ED2001"/>
    <w:rsid w:val="00ED2319"/>
    <w:rsid w:val="00ED2E28"/>
    <w:rsid w:val="00ED42C1"/>
    <w:rsid w:val="00ED4369"/>
    <w:rsid w:val="00ED45A3"/>
    <w:rsid w:val="00ED4A10"/>
    <w:rsid w:val="00ED4D6C"/>
    <w:rsid w:val="00ED4E77"/>
    <w:rsid w:val="00ED5F3B"/>
    <w:rsid w:val="00ED62D2"/>
    <w:rsid w:val="00ED66B1"/>
    <w:rsid w:val="00EE0B34"/>
    <w:rsid w:val="00EE1C52"/>
    <w:rsid w:val="00EE1F70"/>
    <w:rsid w:val="00EE25D2"/>
    <w:rsid w:val="00EE35B1"/>
    <w:rsid w:val="00EE3DE3"/>
    <w:rsid w:val="00EE4D0E"/>
    <w:rsid w:val="00EE4E4F"/>
    <w:rsid w:val="00EE5134"/>
    <w:rsid w:val="00EE521E"/>
    <w:rsid w:val="00EE6056"/>
    <w:rsid w:val="00EE7FB7"/>
    <w:rsid w:val="00EF0970"/>
    <w:rsid w:val="00EF0D12"/>
    <w:rsid w:val="00EF244B"/>
    <w:rsid w:val="00EF24D4"/>
    <w:rsid w:val="00EF2790"/>
    <w:rsid w:val="00EF3893"/>
    <w:rsid w:val="00EF3AC5"/>
    <w:rsid w:val="00EF4D69"/>
    <w:rsid w:val="00EF51C9"/>
    <w:rsid w:val="00EF61BE"/>
    <w:rsid w:val="00EF6294"/>
    <w:rsid w:val="00EF6530"/>
    <w:rsid w:val="00F0064C"/>
    <w:rsid w:val="00F0080A"/>
    <w:rsid w:val="00F0214F"/>
    <w:rsid w:val="00F0276D"/>
    <w:rsid w:val="00F031DA"/>
    <w:rsid w:val="00F055A5"/>
    <w:rsid w:val="00F07C19"/>
    <w:rsid w:val="00F11212"/>
    <w:rsid w:val="00F112A4"/>
    <w:rsid w:val="00F119B4"/>
    <w:rsid w:val="00F123B6"/>
    <w:rsid w:val="00F13B98"/>
    <w:rsid w:val="00F13F58"/>
    <w:rsid w:val="00F142A4"/>
    <w:rsid w:val="00F155BE"/>
    <w:rsid w:val="00F15D18"/>
    <w:rsid w:val="00F15D3D"/>
    <w:rsid w:val="00F15DFA"/>
    <w:rsid w:val="00F1600A"/>
    <w:rsid w:val="00F168B0"/>
    <w:rsid w:val="00F16B5A"/>
    <w:rsid w:val="00F171AC"/>
    <w:rsid w:val="00F1742B"/>
    <w:rsid w:val="00F21A56"/>
    <w:rsid w:val="00F23E20"/>
    <w:rsid w:val="00F2454B"/>
    <w:rsid w:val="00F258CB"/>
    <w:rsid w:val="00F263BF"/>
    <w:rsid w:val="00F27800"/>
    <w:rsid w:val="00F27E0B"/>
    <w:rsid w:val="00F27E38"/>
    <w:rsid w:val="00F30054"/>
    <w:rsid w:val="00F300B4"/>
    <w:rsid w:val="00F307B4"/>
    <w:rsid w:val="00F30B0C"/>
    <w:rsid w:val="00F30CA2"/>
    <w:rsid w:val="00F31071"/>
    <w:rsid w:val="00F3112A"/>
    <w:rsid w:val="00F3118E"/>
    <w:rsid w:val="00F314DC"/>
    <w:rsid w:val="00F31803"/>
    <w:rsid w:val="00F32909"/>
    <w:rsid w:val="00F32E57"/>
    <w:rsid w:val="00F34AB1"/>
    <w:rsid w:val="00F35214"/>
    <w:rsid w:val="00F355FB"/>
    <w:rsid w:val="00F3567E"/>
    <w:rsid w:val="00F36449"/>
    <w:rsid w:val="00F3724D"/>
    <w:rsid w:val="00F3784A"/>
    <w:rsid w:val="00F412E9"/>
    <w:rsid w:val="00F42B45"/>
    <w:rsid w:val="00F43006"/>
    <w:rsid w:val="00F43DCB"/>
    <w:rsid w:val="00F4476C"/>
    <w:rsid w:val="00F506F8"/>
    <w:rsid w:val="00F50DFE"/>
    <w:rsid w:val="00F526B5"/>
    <w:rsid w:val="00F528F7"/>
    <w:rsid w:val="00F52D95"/>
    <w:rsid w:val="00F52EA4"/>
    <w:rsid w:val="00F53B5D"/>
    <w:rsid w:val="00F54A2D"/>
    <w:rsid w:val="00F54DAE"/>
    <w:rsid w:val="00F557F7"/>
    <w:rsid w:val="00F55A98"/>
    <w:rsid w:val="00F5656B"/>
    <w:rsid w:val="00F5671C"/>
    <w:rsid w:val="00F567B7"/>
    <w:rsid w:val="00F56966"/>
    <w:rsid w:val="00F56CF8"/>
    <w:rsid w:val="00F61675"/>
    <w:rsid w:val="00F616D8"/>
    <w:rsid w:val="00F61FE1"/>
    <w:rsid w:val="00F63425"/>
    <w:rsid w:val="00F63DC7"/>
    <w:rsid w:val="00F63F6E"/>
    <w:rsid w:val="00F64402"/>
    <w:rsid w:val="00F6484B"/>
    <w:rsid w:val="00F64DD1"/>
    <w:rsid w:val="00F65C6B"/>
    <w:rsid w:val="00F66689"/>
    <w:rsid w:val="00F671D6"/>
    <w:rsid w:val="00F6797E"/>
    <w:rsid w:val="00F67A97"/>
    <w:rsid w:val="00F705B0"/>
    <w:rsid w:val="00F71165"/>
    <w:rsid w:val="00F72F43"/>
    <w:rsid w:val="00F738D7"/>
    <w:rsid w:val="00F73DC9"/>
    <w:rsid w:val="00F74CEB"/>
    <w:rsid w:val="00F7562A"/>
    <w:rsid w:val="00F759F3"/>
    <w:rsid w:val="00F75B83"/>
    <w:rsid w:val="00F7647A"/>
    <w:rsid w:val="00F77660"/>
    <w:rsid w:val="00F778FB"/>
    <w:rsid w:val="00F77CA3"/>
    <w:rsid w:val="00F80380"/>
    <w:rsid w:val="00F81D8B"/>
    <w:rsid w:val="00F81F13"/>
    <w:rsid w:val="00F81F96"/>
    <w:rsid w:val="00F826D4"/>
    <w:rsid w:val="00F827CB"/>
    <w:rsid w:val="00F82B79"/>
    <w:rsid w:val="00F845D2"/>
    <w:rsid w:val="00F84695"/>
    <w:rsid w:val="00F849E2"/>
    <w:rsid w:val="00F84AE2"/>
    <w:rsid w:val="00F85769"/>
    <w:rsid w:val="00F85DFD"/>
    <w:rsid w:val="00F9004A"/>
    <w:rsid w:val="00F90C45"/>
    <w:rsid w:val="00F90EF5"/>
    <w:rsid w:val="00F91042"/>
    <w:rsid w:val="00F911E0"/>
    <w:rsid w:val="00F918BC"/>
    <w:rsid w:val="00F91CFB"/>
    <w:rsid w:val="00F925FB"/>
    <w:rsid w:val="00F9296A"/>
    <w:rsid w:val="00F930F5"/>
    <w:rsid w:val="00F93172"/>
    <w:rsid w:val="00F9360C"/>
    <w:rsid w:val="00F94184"/>
    <w:rsid w:val="00F9476A"/>
    <w:rsid w:val="00F97D0C"/>
    <w:rsid w:val="00F97D97"/>
    <w:rsid w:val="00F97EDE"/>
    <w:rsid w:val="00FA0B66"/>
    <w:rsid w:val="00FA125F"/>
    <w:rsid w:val="00FA1595"/>
    <w:rsid w:val="00FA17A9"/>
    <w:rsid w:val="00FA1C58"/>
    <w:rsid w:val="00FA2AFE"/>
    <w:rsid w:val="00FA2B63"/>
    <w:rsid w:val="00FA33D1"/>
    <w:rsid w:val="00FA430C"/>
    <w:rsid w:val="00FA4649"/>
    <w:rsid w:val="00FA47D3"/>
    <w:rsid w:val="00FA4D51"/>
    <w:rsid w:val="00FA56EE"/>
    <w:rsid w:val="00FA5DAA"/>
    <w:rsid w:val="00FA64E3"/>
    <w:rsid w:val="00FA6B6D"/>
    <w:rsid w:val="00FA717F"/>
    <w:rsid w:val="00FB0F9F"/>
    <w:rsid w:val="00FB14DE"/>
    <w:rsid w:val="00FB2122"/>
    <w:rsid w:val="00FB2562"/>
    <w:rsid w:val="00FB4DD9"/>
    <w:rsid w:val="00FB5107"/>
    <w:rsid w:val="00FB6683"/>
    <w:rsid w:val="00FB7278"/>
    <w:rsid w:val="00FB758D"/>
    <w:rsid w:val="00FB7719"/>
    <w:rsid w:val="00FB773B"/>
    <w:rsid w:val="00FB7E0C"/>
    <w:rsid w:val="00FC0751"/>
    <w:rsid w:val="00FC1B43"/>
    <w:rsid w:val="00FC1D45"/>
    <w:rsid w:val="00FC2162"/>
    <w:rsid w:val="00FC2660"/>
    <w:rsid w:val="00FC41E1"/>
    <w:rsid w:val="00FC5825"/>
    <w:rsid w:val="00FC599F"/>
    <w:rsid w:val="00FC66C2"/>
    <w:rsid w:val="00FC6FDC"/>
    <w:rsid w:val="00FC7CE1"/>
    <w:rsid w:val="00FD068E"/>
    <w:rsid w:val="00FD0755"/>
    <w:rsid w:val="00FD0EA5"/>
    <w:rsid w:val="00FD13AB"/>
    <w:rsid w:val="00FD14A4"/>
    <w:rsid w:val="00FD1CBC"/>
    <w:rsid w:val="00FD303D"/>
    <w:rsid w:val="00FD3A5B"/>
    <w:rsid w:val="00FD3DA5"/>
    <w:rsid w:val="00FD3DEC"/>
    <w:rsid w:val="00FD45A1"/>
    <w:rsid w:val="00FD491C"/>
    <w:rsid w:val="00FD600F"/>
    <w:rsid w:val="00FD64AD"/>
    <w:rsid w:val="00FD737D"/>
    <w:rsid w:val="00FD738E"/>
    <w:rsid w:val="00FD7635"/>
    <w:rsid w:val="00FD7DA2"/>
    <w:rsid w:val="00FE0699"/>
    <w:rsid w:val="00FE0AFE"/>
    <w:rsid w:val="00FE0C70"/>
    <w:rsid w:val="00FE1D17"/>
    <w:rsid w:val="00FE53CB"/>
    <w:rsid w:val="00FE543E"/>
    <w:rsid w:val="00FE678F"/>
    <w:rsid w:val="00FE68BA"/>
    <w:rsid w:val="00FE6CC0"/>
    <w:rsid w:val="00FE6F4C"/>
    <w:rsid w:val="00FE7139"/>
    <w:rsid w:val="00FE7F61"/>
    <w:rsid w:val="00FF0ACE"/>
    <w:rsid w:val="00FF12FE"/>
    <w:rsid w:val="00FF1E26"/>
    <w:rsid w:val="00FF2C9C"/>
    <w:rsid w:val="00FF2E6D"/>
    <w:rsid w:val="00FF4B4E"/>
    <w:rsid w:val="00FF4C9B"/>
    <w:rsid w:val="00FF613A"/>
    <w:rsid w:val="00FF7BBA"/>
    <w:rsid w:val="00FF7E8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7CA4AD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lsdException w:name="heading 1" w:semiHidden="0" w:unhideWhenUsed="0"/>
    <w:lsdException w:name="heading 2" w:semiHidden="0" w:unhideWhenUsed="0"/>
    <w:lsdException w:name="heading 3" w:semiHidden="0" w:unhideWhenUsed="0"/>
    <w:lsdException w:name="heading 4" w:semiHidden="0" w:unhideWhenUsed="0"/>
    <w:lsdException w:name="heading 5" w:semiHidden="0" w:unhideWhenUsed="0"/>
    <w:lsdException w:name="toc 1" w:uiPriority="39"/>
    <w:lsdException w:name="toc 2" w:uiPriority="39"/>
    <w:lsdException w:name="toc 3" w:uiPriority="39"/>
    <w:lsdException w:name="footnote text" w:uiPriority="99" w:qFormat="1"/>
    <w:lsdException w:name="annotation text" w:uiPriority="99"/>
    <w:lsdException w:name="header" w:uiPriority="99"/>
    <w:lsdException w:name="footer" w:uiPriority="99"/>
    <w:lsdException w:name="caption" w:qFormat="1"/>
    <w:lsdException w:name="footnote reference" w:uiPriority="99" w:qFormat="1"/>
    <w:lsdException w:name="annotation reference" w:uiPriority="99"/>
    <w:lsdException w:name="page number" w:uiPriority="99"/>
    <w:lsdException w:name="List Bullet" w:semiHidden="0" w:unhideWhenUsed="0"/>
    <w:lsdException w:name="List 3" w:semiHidden="0" w:unhideWhenUsed="0"/>
    <w:lsdException w:name="List 4" w:semiHidden="0" w:unhideWhenUsed="0"/>
    <w:lsdException w:name="Title" w:semiHidden="0" w:unhideWhenUsed="0"/>
    <w:lsdException w:name="Message Header" w:semiHidden="0" w:unhideWhenUsed="0"/>
    <w:lsdException w:name="Subtitle" w:semiHidden="0" w:unhideWhenUsed="0"/>
    <w:lsdException w:name="Salutation" w:semiHidden="0" w:unhideWhenUsed="0"/>
    <w:lsdException w:name="Date" w:semiHidden="0" w:unhideWhenUsed="0"/>
    <w:lsdException w:name="Hyperlink" w:uiPriority="99"/>
    <w:lsdException w:name="Strong" w:semiHidden="0" w:uiPriority="22" w:unhideWhenUsed="0" w:qFormat="1"/>
    <w:lsdException w:name="Emphasis" w:semiHidden="0" w:uiPriority="20" w:unhideWhenUsed="0"/>
    <w:lsdException w:name="Normal (Web)" w:uiPriority="99"/>
    <w:lsdException w:name="Table Grid" w:semiHidden="0" w:uiPriority="39" w:unhideWhenUsed="0"/>
    <w:lsdException w:name="Placeholder Text" w:uiPriority="99" w:unhideWhenUsed="0"/>
    <w:lsdException w:name="No Spacing" w:semiHidden="0" w:uiPriority="9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C90D0E"/>
    <w:rPr>
      <w:sz w:val="24"/>
      <w:szCs w:val="24"/>
      <w:lang w:eastAsia="fr-FR"/>
    </w:rPr>
  </w:style>
  <w:style w:type="paragraph" w:styleId="Heading1">
    <w:name w:val="heading 1"/>
    <w:basedOn w:val="Normal"/>
    <w:next w:val="Normal"/>
    <w:link w:val="Heading1Char"/>
    <w:rsid w:val="001F14FD"/>
    <w:pPr>
      <w:keepNext/>
      <w:numPr>
        <w:numId w:val="1"/>
      </w:numPr>
      <w:outlineLvl w:val="0"/>
    </w:pPr>
    <w:rPr>
      <w:b/>
      <w:u w:val="single"/>
    </w:rPr>
  </w:style>
  <w:style w:type="paragraph" w:styleId="Heading2">
    <w:name w:val="heading 2"/>
    <w:basedOn w:val="Normal"/>
    <w:next w:val="Normal"/>
    <w:link w:val="Heading2Char"/>
    <w:rsid w:val="00214D8E"/>
    <w:pPr>
      <w:keepNext/>
      <w:tabs>
        <w:tab w:val="num" w:pos="576"/>
      </w:tabs>
      <w:spacing w:before="240" w:after="60"/>
      <w:ind w:left="576" w:hanging="576"/>
      <w:outlineLvl w:val="1"/>
    </w:pPr>
    <w:rPr>
      <w:rFonts w:ascii="Arial" w:hAnsi="Arial" w:cs="Arial"/>
      <w:b/>
      <w:bCs/>
      <w:i/>
      <w:iCs/>
      <w:sz w:val="28"/>
      <w:szCs w:val="28"/>
    </w:rPr>
  </w:style>
  <w:style w:type="paragraph" w:styleId="Heading3">
    <w:name w:val="heading 3"/>
    <w:basedOn w:val="Normal"/>
    <w:next w:val="Normal"/>
    <w:link w:val="Heading3Char"/>
    <w:rsid w:val="00214D8E"/>
    <w:pPr>
      <w:keepNext/>
      <w:tabs>
        <w:tab w:val="num" w:pos="720"/>
      </w:tabs>
      <w:spacing w:before="240" w:after="60"/>
      <w:ind w:left="720" w:hanging="720"/>
      <w:outlineLvl w:val="2"/>
    </w:pPr>
    <w:rPr>
      <w:rFonts w:ascii="Arial" w:hAnsi="Arial" w:cs="Arial"/>
      <w:b/>
      <w:bCs/>
      <w:sz w:val="26"/>
      <w:szCs w:val="26"/>
    </w:rPr>
  </w:style>
  <w:style w:type="paragraph" w:styleId="Heading4">
    <w:name w:val="heading 4"/>
    <w:basedOn w:val="Normal"/>
    <w:next w:val="Normal"/>
    <w:link w:val="Heading4Char"/>
    <w:rsid w:val="00214D8E"/>
    <w:pPr>
      <w:keepNext/>
      <w:tabs>
        <w:tab w:val="num" w:pos="1764"/>
      </w:tabs>
      <w:spacing w:before="240" w:after="60"/>
      <w:ind w:left="1764" w:hanging="864"/>
      <w:outlineLvl w:val="3"/>
    </w:pPr>
    <w:rPr>
      <w:b/>
      <w:bCs/>
      <w:sz w:val="28"/>
      <w:szCs w:val="28"/>
    </w:rPr>
  </w:style>
  <w:style w:type="paragraph" w:styleId="Heading5">
    <w:name w:val="heading 5"/>
    <w:basedOn w:val="Normal"/>
    <w:next w:val="Normal"/>
    <w:rsid w:val="00214D8E"/>
    <w:pPr>
      <w:numPr>
        <w:ilvl w:val="4"/>
        <w:numId w:val="7"/>
      </w:numPr>
      <w:spacing w:before="240" w:after="60"/>
      <w:outlineLvl w:val="4"/>
    </w:pPr>
    <w:rPr>
      <w:b/>
      <w:bCs/>
      <w:i/>
      <w:iCs/>
      <w:sz w:val="26"/>
      <w:szCs w:val="26"/>
    </w:rPr>
  </w:style>
  <w:style w:type="paragraph" w:styleId="Heading6">
    <w:name w:val="heading 6"/>
    <w:basedOn w:val="Normal"/>
    <w:next w:val="Normal"/>
    <w:rsid w:val="00214D8E"/>
    <w:pPr>
      <w:numPr>
        <w:ilvl w:val="5"/>
        <w:numId w:val="7"/>
      </w:numPr>
      <w:spacing w:before="240" w:after="60"/>
      <w:outlineLvl w:val="5"/>
    </w:pPr>
    <w:rPr>
      <w:b/>
      <w:bCs/>
      <w:sz w:val="22"/>
      <w:szCs w:val="22"/>
    </w:rPr>
  </w:style>
  <w:style w:type="paragraph" w:styleId="Heading7">
    <w:name w:val="heading 7"/>
    <w:basedOn w:val="Normal"/>
    <w:next w:val="Normal"/>
    <w:rsid w:val="00214D8E"/>
    <w:pPr>
      <w:numPr>
        <w:ilvl w:val="6"/>
        <w:numId w:val="7"/>
      </w:numPr>
      <w:spacing w:before="240" w:after="60"/>
      <w:outlineLvl w:val="6"/>
    </w:pPr>
  </w:style>
  <w:style w:type="paragraph" w:styleId="Heading8">
    <w:name w:val="heading 8"/>
    <w:basedOn w:val="Normal"/>
    <w:next w:val="Normal"/>
    <w:rsid w:val="00214D8E"/>
    <w:pPr>
      <w:numPr>
        <w:ilvl w:val="7"/>
        <w:numId w:val="7"/>
      </w:numPr>
      <w:spacing w:before="240" w:after="60"/>
      <w:outlineLvl w:val="7"/>
    </w:pPr>
    <w:rPr>
      <w:i/>
      <w:iCs/>
    </w:rPr>
  </w:style>
  <w:style w:type="paragraph" w:styleId="Heading9">
    <w:name w:val="heading 9"/>
    <w:basedOn w:val="Normal"/>
    <w:next w:val="Normal"/>
    <w:rsid w:val="00214D8E"/>
    <w:pPr>
      <w:numPr>
        <w:ilvl w:val="8"/>
        <w:numId w:val="7"/>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1F14FD"/>
    <w:pPr>
      <w:tabs>
        <w:tab w:val="center" w:pos="4536"/>
        <w:tab w:val="right" w:pos="9072"/>
      </w:tabs>
    </w:pPr>
  </w:style>
  <w:style w:type="character" w:styleId="PageNumber">
    <w:name w:val="page number"/>
    <w:basedOn w:val="DefaultParagraphFont"/>
    <w:uiPriority w:val="99"/>
    <w:rsid w:val="001F14FD"/>
  </w:style>
  <w:style w:type="paragraph" w:styleId="BodyText">
    <w:name w:val="Body Text"/>
    <w:aliases w:val="Body Text A,alt+L,alt+B ja alt+L,.                 alt+L,Double indent Car Car Car,Double indent"/>
    <w:basedOn w:val="Normal"/>
    <w:link w:val="BodyTextChar"/>
    <w:rsid w:val="001F14FD"/>
    <w:rPr>
      <w:szCs w:val="20"/>
      <w:lang w:val="en-US"/>
    </w:rPr>
  </w:style>
  <w:style w:type="character" w:styleId="Hyperlink">
    <w:name w:val="Hyperlink"/>
    <w:uiPriority w:val="99"/>
    <w:rsid w:val="001F14FD"/>
    <w:rPr>
      <w:color w:val="0000FF"/>
      <w:u w:val="single"/>
    </w:rPr>
  </w:style>
  <w:style w:type="paragraph" w:styleId="BlockText">
    <w:name w:val="Block Text"/>
    <w:basedOn w:val="Normal"/>
    <w:rsid w:val="001F14FD"/>
    <w:pPr>
      <w:tabs>
        <w:tab w:val="left" w:pos="0"/>
      </w:tabs>
      <w:suppressAutoHyphens/>
      <w:ind w:left="340" w:right="340"/>
      <w:jc w:val="both"/>
    </w:pPr>
    <w:rPr>
      <w:szCs w:val="20"/>
      <w:lang w:val="es-ES_tradnl" w:eastAsia="en-US"/>
    </w:rPr>
  </w:style>
  <w:style w:type="paragraph" w:styleId="TOC1">
    <w:name w:val="toc 1"/>
    <w:basedOn w:val="Normal"/>
    <w:next w:val="Normal"/>
    <w:autoRedefine/>
    <w:uiPriority w:val="39"/>
    <w:rsid w:val="00BD262D"/>
    <w:pPr>
      <w:tabs>
        <w:tab w:val="left" w:pos="480"/>
        <w:tab w:val="right" w:leader="dot" w:pos="9060"/>
      </w:tabs>
      <w:ind w:left="426" w:hanging="426"/>
    </w:pPr>
    <w:rPr>
      <w:rFonts w:ascii="Century Gothic" w:hAnsi="Century Gothic"/>
      <w:b/>
      <w:bCs/>
      <w:caps/>
      <w:noProof/>
      <w:sz w:val="22"/>
      <w:szCs w:val="22"/>
    </w:rPr>
  </w:style>
  <w:style w:type="paragraph" w:styleId="TOC2">
    <w:name w:val="toc 2"/>
    <w:basedOn w:val="Normal"/>
    <w:next w:val="Normal"/>
    <w:autoRedefine/>
    <w:uiPriority w:val="39"/>
    <w:rsid w:val="003F42A4"/>
    <w:pPr>
      <w:tabs>
        <w:tab w:val="right" w:leader="dot" w:pos="9062"/>
      </w:tabs>
      <w:ind w:left="1134" w:hanging="708"/>
    </w:pPr>
    <w:rPr>
      <w:rFonts w:ascii="Century Gothic" w:hAnsi="Century Gothic"/>
      <w:noProof/>
      <w:sz w:val="22"/>
      <w:szCs w:val="22"/>
    </w:rPr>
  </w:style>
  <w:style w:type="paragraph" w:styleId="NormalWeb">
    <w:name w:val="Normal (Web)"/>
    <w:basedOn w:val="Normal"/>
    <w:uiPriority w:val="99"/>
    <w:rsid w:val="001F14FD"/>
    <w:pPr>
      <w:spacing w:before="100" w:beforeAutospacing="1" w:after="100" w:afterAutospacing="1"/>
    </w:pPr>
    <w:rPr>
      <w:rFonts w:ascii="Arial" w:hAnsi="Arial" w:cs="Arial"/>
      <w:color w:val="000066"/>
      <w:sz w:val="20"/>
      <w:szCs w:val="20"/>
    </w:rPr>
  </w:style>
  <w:style w:type="paragraph" w:styleId="Header">
    <w:name w:val="header"/>
    <w:basedOn w:val="Normal"/>
    <w:link w:val="HeaderChar"/>
    <w:uiPriority w:val="99"/>
    <w:rsid w:val="001F14FD"/>
    <w:pPr>
      <w:tabs>
        <w:tab w:val="center" w:pos="4153"/>
        <w:tab w:val="right" w:pos="8306"/>
      </w:tabs>
    </w:pPr>
  </w:style>
  <w:style w:type="paragraph" w:styleId="TOC3">
    <w:name w:val="toc 3"/>
    <w:basedOn w:val="Normal"/>
    <w:next w:val="Normal"/>
    <w:autoRedefine/>
    <w:uiPriority w:val="39"/>
    <w:rsid w:val="000C507F"/>
    <w:pPr>
      <w:tabs>
        <w:tab w:val="left" w:pos="1985"/>
        <w:tab w:val="right" w:leader="dot" w:pos="9060"/>
      </w:tabs>
      <w:ind w:left="1134"/>
    </w:pPr>
    <w:rPr>
      <w:rFonts w:ascii="Century Gothic" w:hAnsi="Century Gothic"/>
      <w:sz w:val="22"/>
    </w:rPr>
  </w:style>
  <w:style w:type="table" w:styleId="TableGrid">
    <w:name w:val="Table Grid"/>
    <w:basedOn w:val="TableNormal"/>
    <w:uiPriority w:val="39"/>
    <w:rsid w:val="004305D4"/>
    <w:rPr>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rsid w:val="003354D3"/>
    <w:pPr>
      <w:spacing w:after="120"/>
    </w:pPr>
    <w:rPr>
      <w:sz w:val="16"/>
      <w:szCs w:val="16"/>
    </w:rPr>
  </w:style>
  <w:style w:type="character" w:styleId="CommentReference">
    <w:name w:val="annotation reference"/>
    <w:uiPriority w:val="99"/>
    <w:semiHidden/>
    <w:rsid w:val="00AD1D11"/>
    <w:rPr>
      <w:sz w:val="16"/>
      <w:szCs w:val="16"/>
    </w:rPr>
  </w:style>
  <w:style w:type="paragraph" w:styleId="CommentText">
    <w:name w:val="annotation text"/>
    <w:basedOn w:val="Normal"/>
    <w:link w:val="CommentTextChar"/>
    <w:uiPriority w:val="99"/>
    <w:rsid w:val="00AD1D11"/>
    <w:rPr>
      <w:sz w:val="20"/>
      <w:szCs w:val="20"/>
    </w:rPr>
  </w:style>
  <w:style w:type="paragraph" w:styleId="CommentSubject">
    <w:name w:val="annotation subject"/>
    <w:basedOn w:val="CommentText"/>
    <w:next w:val="CommentText"/>
    <w:semiHidden/>
    <w:rsid w:val="00AD1D11"/>
    <w:rPr>
      <w:b/>
      <w:bCs/>
    </w:rPr>
  </w:style>
  <w:style w:type="paragraph" w:styleId="BalloonText">
    <w:name w:val="Balloon Text"/>
    <w:basedOn w:val="Normal"/>
    <w:semiHidden/>
    <w:rsid w:val="00AD1D11"/>
    <w:rPr>
      <w:rFonts w:ascii="Tahoma" w:hAnsi="Tahoma" w:cs="Tahoma"/>
      <w:sz w:val="16"/>
      <w:szCs w:val="16"/>
    </w:rPr>
  </w:style>
  <w:style w:type="character" w:styleId="Strong">
    <w:name w:val="Strong"/>
    <w:uiPriority w:val="22"/>
    <w:qFormat/>
    <w:rsid w:val="00C22B2E"/>
    <w:rPr>
      <w:b/>
      <w:bCs/>
    </w:rPr>
  </w:style>
  <w:style w:type="character" w:styleId="FootnoteReference">
    <w:name w:val="footnote reference"/>
    <w:aliases w:val="Footnote Refernece,BVI fnr,callout,16 Point,Superscript 6 Point,Odwołanie przypisu,Footnote symbol,Footnote Reference Number,Footnote Reference Superscript,SUPERS,Times 10 Point,Exposant 3 Point,Ref,de nota al pie,number, BVI fnr,FR,F"/>
    <w:uiPriority w:val="99"/>
    <w:qFormat/>
    <w:rsid w:val="000B0F0A"/>
    <w:rPr>
      <w:vertAlign w:val="superscript"/>
    </w:rPr>
  </w:style>
  <w:style w:type="paragraph" w:styleId="ListParagraph">
    <w:name w:val="List Paragraph"/>
    <w:aliases w:val="Heading 2_sj,List Paragraph1"/>
    <w:basedOn w:val="Normal"/>
    <w:uiPriority w:val="34"/>
    <w:qFormat/>
    <w:rsid w:val="000B0F0A"/>
    <w:pPr>
      <w:ind w:left="720"/>
      <w:contextualSpacing/>
      <w:jc w:val="both"/>
    </w:pPr>
    <w:rPr>
      <w:sz w:val="22"/>
      <w:szCs w:val="20"/>
    </w:rPr>
  </w:style>
  <w:style w:type="paragraph" w:styleId="FootnoteText">
    <w:name w:val="footnote text"/>
    <w:aliases w:val="M Footnotes"/>
    <w:basedOn w:val="Normal"/>
    <w:link w:val="FootnoteTextChar"/>
    <w:uiPriority w:val="99"/>
    <w:qFormat/>
    <w:rsid w:val="003520D5"/>
    <w:pPr>
      <w:jc w:val="both"/>
    </w:pPr>
    <w:rPr>
      <w:sz w:val="18"/>
      <w:szCs w:val="22"/>
    </w:rPr>
  </w:style>
  <w:style w:type="character" w:customStyle="1" w:styleId="FootnoteTextChar">
    <w:name w:val="Footnote Text Char"/>
    <w:aliases w:val="M Footnotes Char"/>
    <w:link w:val="FootnoteText"/>
    <w:uiPriority w:val="99"/>
    <w:rsid w:val="003520D5"/>
    <w:rPr>
      <w:sz w:val="18"/>
      <w:szCs w:val="22"/>
      <w:lang w:eastAsia="fr-FR"/>
    </w:rPr>
  </w:style>
  <w:style w:type="character" w:styleId="Emphasis">
    <w:name w:val="Emphasis"/>
    <w:uiPriority w:val="20"/>
    <w:rsid w:val="005703D4"/>
    <w:rPr>
      <w:i/>
    </w:rPr>
  </w:style>
  <w:style w:type="paragraph" w:customStyle="1" w:styleId="Default">
    <w:name w:val="Default"/>
    <w:rsid w:val="005703D4"/>
    <w:pPr>
      <w:autoSpaceDE w:val="0"/>
      <w:autoSpaceDN w:val="0"/>
      <w:adjustRightInd w:val="0"/>
    </w:pPr>
    <w:rPr>
      <w:rFonts w:ascii="EUAlbertina" w:eastAsia="Calibri" w:hAnsi="EUAlbertina" w:cs="EUAlbertina"/>
      <w:color w:val="000000"/>
      <w:sz w:val="24"/>
      <w:szCs w:val="24"/>
      <w:lang w:val="fr-BE" w:eastAsia="en-US"/>
    </w:rPr>
  </w:style>
  <w:style w:type="paragraph" w:customStyle="1" w:styleId="MBT">
    <w:name w:val="M BT"/>
    <w:basedOn w:val="Normal"/>
    <w:link w:val="MBTChar"/>
    <w:qFormat/>
    <w:rsid w:val="003520D5"/>
    <w:pPr>
      <w:widowControl w:val="0"/>
      <w:jc w:val="both"/>
    </w:pPr>
    <w:rPr>
      <w:bCs/>
      <w:sz w:val="22"/>
      <w:szCs w:val="22"/>
      <w:lang w:val="en-US"/>
    </w:rPr>
  </w:style>
  <w:style w:type="paragraph" w:customStyle="1" w:styleId="MH1">
    <w:name w:val="M H 1"/>
    <w:basedOn w:val="Heading1"/>
    <w:next w:val="MBT"/>
    <w:link w:val="MH1Char"/>
    <w:qFormat/>
    <w:rsid w:val="00214D8E"/>
    <w:pPr>
      <w:pageBreakBefore/>
      <w:numPr>
        <w:numId w:val="7"/>
      </w:numPr>
      <w:spacing w:after="480"/>
      <w:jc w:val="both"/>
    </w:pPr>
    <w:rPr>
      <w:rFonts w:ascii="Century Gothic" w:hAnsi="Century Gothic"/>
      <w:caps/>
      <w:u w:val="none"/>
    </w:rPr>
  </w:style>
  <w:style w:type="character" w:customStyle="1" w:styleId="MBTChar">
    <w:name w:val="M BT Char"/>
    <w:link w:val="MBT"/>
    <w:rsid w:val="003520D5"/>
    <w:rPr>
      <w:bCs/>
      <w:sz w:val="22"/>
      <w:szCs w:val="22"/>
      <w:lang w:val="en-US" w:eastAsia="fr-FR"/>
    </w:rPr>
  </w:style>
  <w:style w:type="paragraph" w:customStyle="1" w:styleId="MH1nonumb">
    <w:name w:val="M H 1 no numb"/>
    <w:basedOn w:val="MH1"/>
    <w:next w:val="MBT"/>
    <w:link w:val="MH1nonumbChar"/>
    <w:qFormat/>
    <w:rsid w:val="003520D5"/>
    <w:pPr>
      <w:numPr>
        <w:numId w:val="0"/>
      </w:numPr>
    </w:pPr>
  </w:style>
  <w:style w:type="character" w:customStyle="1" w:styleId="Heading1Char">
    <w:name w:val="Heading 1 Char"/>
    <w:link w:val="Heading1"/>
    <w:rsid w:val="001B161E"/>
    <w:rPr>
      <w:b/>
      <w:sz w:val="24"/>
      <w:szCs w:val="24"/>
      <w:u w:val="single"/>
      <w:lang w:eastAsia="fr-FR"/>
    </w:rPr>
  </w:style>
  <w:style w:type="character" w:customStyle="1" w:styleId="MH1Char">
    <w:name w:val="M H 1 Char"/>
    <w:link w:val="MH1"/>
    <w:rsid w:val="003520D5"/>
    <w:rPr>
      <w:rFonts w:ascii="Century Gothic" w:hAnsi="Century Gothic"/>
      <w:b/>
      <w:caps/>
      <w:sz w:val="24"/>
      <w:szCs w:val="24"/>
      <w:lang w:eastAsia="fr-FR"/>
    </w:rPr>
  </w:style>
  <w:style w:type="paragraph" w:customStyle="1" w:styleId="MH2">
    <w:name w:val="M H 2"/>
    <w:basedOn w:val="Heading2"/>
    <w:next w:val="MBT"/>
    <w:link w:val="MH2Char"/>
    <w:qFormat/>
    <w:rsid w:val="0007122D"/>
    <w:pPr>
      <w:numPr>
        <w:ilvl w:val="1"/>
        <w:numId w:val="3"/>
      </w:numPr>
      <w:spacing w:before="0" w:after="240"/>
      <w:ind w:left="578" w:hanging="578"/>
      <w:jc w:val="both"/>
    </w:pPr>
    <w:rPr>
      <w:rFonts w:ascii="Century Gothic" w:hAnsi="Century Gothic"/>
      <w:i w:val="0"/>
      <w:caps/>
      <w:sz w:val="22"/>
    </w:rPr>
  </w:style>
  <w:style w:type="character" w:customStyle="1" w:styleId="MH1nonumbChar">
    <w:name w:val="M H 1 no numb Char"/>
    <w:link w:val="MH1nonumb"/>
    <w:rsid w:val="003520D5"/>
    <w:rPr>
      <w:rFonts w:ascii="Century Gothic" w:hAnsi="Century Gothic"/>
      <w:b/>
      <w:caps/>
      <w:sz w:val="24"/>
      <w:szCs w:val="24"/>
      <w:lang w:eastAsia="fr-FR"/>
    </w:rPr>
  </w:style>
  <w:style w:type="paragraph" w:customStyle="1" w:styleId="MH3">
    <w:name w:val="M H 3"/>
    <w:basedOn w:val="Heading3"/>
    <w:next w:val="MBT"/>
    <w:link w:val="MH3Char"/>
    <w:qFormat/>
    <w:rsid w:val="0007122D"/>
    <w:pPr>
      <w:numPr>
        <w:ilvl w:val="2"/>
        <w:numId w:val="3"/>
      </w:numPr>
      <w:spacing w:before="0" w:after="240"/>
      <w:jc w:val="both"/>
    </w:pPr>
    <w:rPr>
      <w:rFonts w:ascii="Century Gothic" w:hAnsi="Century Gothic"/>
      <w:sz w:val="22"/>
      <w:szCs w:val="22"/>
    </w:rPr>
  </w:style>
  <w:style w:type="character" w:customStyle="1" w:styleId="Heading2Char">
    <w:name w:val="Heading 2 Char"/>
    <w:link w:val="Heading2"/>
    <w:rsid w:val="00E71143"/>
    <w:rPr>
      <w:rFonts w:ascii="Arial" w:hAnsi="Arial" w:cs="Arial"/>
      <w:b/>
      <w:bCs/>
      <w:i/>
      <w:iCs/>
      <w:sz w:val="28"/>
      <w:szCs w:val="28"/>
      <w:lang w:val="fr-FR" w:eastAsia="fr-FR"/>
    </w:rPr>
  </w:style>
  <w:style w:type="character" w:customStyle="1" w:styleId="MH2Char">
    <w:name w:val="M H 2 Char"/>
    <w:link w:val="MH2"/>
    <w:rsid w:val="0007122D"/>
    <w:rPr>
      <w:rFonts w:ascii="Century Gothic" w:hAnsi="Century Gothic" w:cs="Arial"/>
      <w:b/>
      <w:bCs/>
      <w:iCs/>
      <w:caps/>
      <w:sz w:val="22"/>
      <w:szCs w:val="28"/>
      <w:lang w:eastAsia="fr-FR"/>
    </w:rPr>
  </w:style>
  <w:style w:type="paragraph" w:customStyle="1" w:styleId="MH4">
    <w:name w:val="M H 4"/>
    <w:basedOn w:val="Heading4"/>
    <w:next w:val="MBT"/>
    <w:link w:val="MH4Char"/>
    <w:qFormat/>
    <w:rsid w:val="0007122D"/>
    <w:pPr>
      <w:numPr>
        <w:ilvl w:val="3"/>
        <w:numId w:val="3"/>
      </w:numPr>
      <w:tabs>
        <w:tab w:val="clear" w:pos="1764"/>
        <w:tab w:val="num" w:pos="851"/>
      </w:tabs>
      <w:spacing w:before="0" w:after="240"/>
      <w:ind w:left="868" w:hanging="868"/>
      <w:jc w:val="both"/>
    </w:pPr>
    <w:rPr>
      <w:rFonts w:ascii="Century Gothic" w:hAnsi="Century Gothic"/>
      <w:b w:val="0"/>
      <w:sz w:val="22"/>
      <w:szCs w:val="22"/>
    </w:rPr>
  </w:style>
  <w:style w:type="character" w:customStyle="1" w:styleId="Heading3Char">
    <w:name w:val="Heading 3 Char"/>
    <w:link w:val="Heading3"/>
    <w:rsid w:val="00037885"/>
    <w:rPr>
      <w:rFonts w:ascii="Arial" w:hAnsi="Arial" w:cs="Arial"/>
      <w:b/>
      <w:bCs/>
      <w:sz w:val="26"/>
      <w:szCs w:val="26"/>
      <w:lang w:val="fr-FR" w:eastAsia="fr-FR"/>
    </w:rPr>
  </w:style>
  <w:style w:type="character" w:customStyle="1" w:styleId="MH3Char">
    <w:name w:val="M H 3 Char"/>
    <w:link w:val="MH3"/>
    <w:rsid w:val="0007122D"/>
    <w:rPr>
      <w:rFonts w:ascii="Century Gothic" w:hAnsi="Century Gothic" w:cs="Arial"/>
      <w:b/>
      <w:bCs/>
      <w:sz w:val="22"/>
      <w:szCs w:val="22"/>
      <w:lang w:eastAsia="fr-FR"/>
    </w:rPr>
  </w:style>
  <w:style w:type="paragraph" w:customStyle="1" w:styleId="MMultilevel">
    <w:name w:val="M Multilevel"/>
    <w:basedOn w:val="Normal"/>
    <w:link w:val="MMultilevelChar"/>
    <w:qFormat/>
    <w:rsid w:val="003520D5"/>
    <w:pPr>
      <w:widowControl w:val="0"/>
      <w:jc w:val="both"/>
    </w:pPr>
    <w:rPr>
      <w:bCs/>
      <w:sz w:val="22"/>
      <w:szCs w:val="22"/>
      <w:lang w:val="en-US"/>
    </w:rPr>
  </w:style>
  <w:style w:type="character" w:customStyle="1" w:styleId="Heading4Char">
    <w:name w:val="Heading 4 Char"/>
    <w:link w:val="Heading4"/>
    <w:rsid w:val="006B477D"/>
    <w:rPr>
      <w:b/>
      <w:bCs/>
      <w:sz w:val="28"/>
      <w:szCs w:val="28"/>
      <w:lang w:val="fr-FR" w:eastAsia="fr-FR"/>
    </w:rPr>
  </w:style>
  <w:style w:type="character" w:customStyle="1" w:styleId="MH4Char">
    <w:name w:val="M H 4 Char"/>
    <w:link w:val="MH4"/>
    <w:rsid w:val="0007122D"/>
    <w:rPr>
      <w:rFonts w:ascii="Century Gothic" w:hAnsi="Century Gothic"/>
      <w:bCs/>
      <w:sz w:val="22"/>
      <w:szCs w:val="22"/>
      <w:lang w:eastAsia="fr-FR"/>
    </w:rPr>
  </w:style>
  <w:style w:type="paragraph" w:customStyle="1" w:styleId="6B1BA9E48E214D47B5AB4BF5789D4B8B">
    <w:name w:val="6B1BA9E48E214D47B5AB4BF5789D4B8B"/>
    <w:rsid w:val="00BF08BC"/>
    <w:pPr>
      <w:spacing w:after="200" w:line="276" w:lineRule="auto"/>
    </w:pPr>
    <w:rPr>
      <w:rFonts w:ascii="Calibri" w:hAnsi="Calibri"/>
      <w:sz w:val="22"/>
      <w:szCs w:val="22"/>
    </w:rPr>
  </w:style>
  <w:style w:type="character" w:customStyle="1" w:styleId="MMultilevelChar">
    <w:name w:val="M Multilevel Char"/>
    <w:link w:val="MMultilevel"/>
    <w:rsid w:val="003520D5"/>
    <w:rPr>
      <w:bCs/>
      <w:sz w:val="22"/>
      <w:szCs w:val="22"/>
      <w:lang w:val="en-US" w:eastAsia="fr-FR"/>
    </w:rPr>
  </w:style>
  <w:style w:type="numbering" w:customStyle="1" w:styleId="MilieuList">
    <w:name w:val="Milieu List"/>
    <w:uiPriority w:val="99"/>
    <w:rsid w:val="00C25C82"/>
    <w:pPr>
      <w:numPr>
        <w:numId w:val="4"/>
      </w:numPr>
    </w:pPr>
  </w:style>
  <w:style w:type="paragraph" w:styleId="Quote">
    <w:name w:val="Quote"/>
    <w:basedOn w:val="Normal"/>
    <w:next w:val="Normal"/>
    <w:link w:val="QuoteChar"/>
    <w:uiPriority w:val="29"/>
    <w:rsid w:val="000522FA"/>
    <w:pPr>
      <w:spacing w:after="200" w:line="276" w:lineRule="auto"/>
    </w:pPr>
    <w:rPr>
      <w:rFonts w:asciiTheme="minorHAnsi" w:eastAsiaTheme="minorEastAsia" w:hAnsiTheme="minorHAnsi" w:cstheme="minorBidi"/>
      <w:i/>
      <w:iCs/>
      <w:color w:val="000000" w:themeColor="text1"/>
      <w:sz w:val="22"/>
      <w:szCs w:val="22"/>
      <w:lang w:val="en-US" w:eastAsia="ja-JP"/>
    </w:rPr>
  </w:style>
  <w:style w:type="character" w:customStyle="1" w:styleId="QuoteChar">
    <w:name w:val="Quote Char"/>
    <w:basedOn w:val="DefaultParagraphFont"/>
    <w:link w:val="Quote"/>
    <w:uiPriority w:val="29"/>
    <w:rsid w:val="000522FA"/>
    <w:rPr>
      <w:rFonts w:asciiTheme="minorHAnsi" w:eastAsiaTheme="minorEastAsia" w:hAnsiTheme="minorHAnsi" w:cstheme="minorBidi"/>
      <w:i/>
      <w:iCs/>
      <w:color w:val="000000" w:themeColor="text1"/>
      <w:sz w:val="22"/>
      <w:szCs w:val="22"/>
      <w:lang w:val="en-US" w:eastAsia="ja-JP"/>
    </w:rPr>
  </w:style>
  <w:style w:type="paragraph" w:styleId="NoSpacing">
    <w:name w:val="No Spacing"/>
    <w:basedOn w:val="Normal"/>
    <w:uiPriority w:val="99"/>
    <w:rsid w:val="00AE599B"/>
    <w:rPr>
      <w:rFonts w:asciiTheme="minorHAnsi" w:eastAsiaTheme="minorHAnsi" w:hAnsiTheme="minorHAnsi"/>
      <w:color w:val="000000" w:themeColor="text1"/>
      <w:sz w:val="20"/>
      <w:szCs w:val="20"/>
      <w:lang w:val="en-US" w:eastAsia="ja-JP"/>
    </w:rPr>
  </w:style>
  <w:style w:type="paragraph" w:customStyle="1" w:styleId="8A1B7484A002489D88FC21011515A39A">
    <w:name w:val="8A1B7484A002489D88FC21011515A39A"/>
    <w:rsid w:val="00AE599B"/>
    <w:pPr>
      <w:spacing w:after="200" w:line="276" w:lineRule="auto"/>
    </w:pPr>
    <w:rPr>
      <w:rFonts w:asciiTheme="minorHAnsi" w:eastAsiaTheme="minorEastAsia" w:hAnsiTheme="minorHAnsi" w:cstheme="minorBidi"/>
      <w:sz w:val="22"/>
      <w:szCs w:val="22"/>
      <w:lang w:val="en-US" w:eastAsia="en-US"/>
    </w:rPr>
  </w:style>
  <w:style w:type="paragraph" w:customStyle="1" w:styleId="MMultilevelList">
    <w:name w:val="M Multilevel List"/>
    <w:basedOn w:val="MMultilevel"/>
    <w:link w:val="MMultilevelListChar"/>
    <w:rsid w:val="003139D6"/>
    <w:pPr>
      <w:numPr>
        <w:numId w:val="2"/>
      </w:numPr>
    </w:pPr>
  </w:style>
  <w:style w:type="character" w:customStyle="1" w:styleId="MMultilevelListChar">
    <w:name w:val="M Multilevel List Char"/>
    <w:basedOn w:val="MMultilevelChar"/>
    <w:link w:val="MMultilevelList"/>
    <w:rsid w:val="003139D6"/>
    <w:rPr>
      <w:bCs/>
      <w:sz w:val="22"/>
      <w:szCs w:val="22"/>
      <w:lang w:val="en-US" w:eastAsia="fr-FR"/>
    </w:rPr>
  </w:style>
  <w:style w:type="paragraph" w:styleId="Caption">
    <w:name w:val="caption"/>
    <w:aliases w:val="M Caption"/>
    <w:basedOn w:val="Normal"/>
    <w:next w:val="Normal"/>
    <w:unhideWhenUsed/>
    <w:qFormat/>
    <w:rsid w:val="003520D5"/>
    <w:pPr>
      <w:spacing w:after="200"/>
    </w:pPr>
    <w:rPr>
      <w:b/>
      <w:bCs/>
      <w:color w:val="000000" w:themeColor="text1"/>
      <w:sz w:val="18"/>
      <w:szCs w:val="18"/>
    </w:rPr>
  </w:style>
  <w:style w:type="table" w:customStyle="1" w:styleId="MTableStyle">
    <w:name w:val="M Table Style"/>
    <w:basedOn w:val="TableGrid1"/>
    <w:uiPriority w:val="99"/>
    <w:rsid w:val="00AB0DA2"/>
    <w:pPr>
      <w:spacing w:before="50" w:after="50"/>
    </w:pPr>
    <w:rPr>
      <w:rFonts w:ascii="Century Gothic" w:hAnsi="Century Gothic"/>
      <w:color w:val="000000" w:themeColor="text1"/>
      <w:sz w:val="18"/>
      <w:lang w:val="fr-BE" w:eastAsia="fr-BE"/>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Pr>
    <w:tcPr>
      <w:shd w:val="clear" w:color="auto" w:fill="DBDBDB" w:themeFill="background2" w:themeFillTint="66"/>
    </w:tcPr>
    <w:tblStylePr w:type="firstRow">
      <w:pPr>
        <w:keepNext w:val="0"/>
        <w:keepLines w:val="0"/>
        <w:pageBreakBefore w:val="0"/>
        <w:widowControl w:val="0"/>
        <w:suppressLineNumbers w:val="0"/>
        <w:suppressAutoHyphens w:val="0"/>
        <w:wordWrap/>
        <w:spacing w:beforeLines="0" w:before="50" w:beforeAutospacing="0" w:afterLines="0" w:after="50" w:afterAutospacing="0" w:line="240" w:lineRule="auto"/>
        <w:contextualSpacing w:val="0"/>
        <w:jc w:val="center"/>
      </w:pPr>
      <w:rPr>
        <w:rFonts w:ascii="EUAlbertina" w:hAnsi="EUAlbertina"/>
        <w:b/>
        <w:i w:val="0"/>
        <w:caps w:val="0"/>
        <w:smallCaps w:val="0"/>
        <w:strike w:val="0"/>
        <w:dstrike w:val="0"/>
        <w:vanish w:val="0"/>
        <w:color w:val="000000" w:themeColor="text1"/>
        <w:sz w:val="18"/>
        <w:vertAlign w:val="baseline"/>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l2br w:val="nil"/>
          <w:tr2bl w:val="nil"/>
        </w:tcBorders>
        <w:shd w:val="clear" w:color="auto" w:fill="7AB800" w:themeFill="text2"/>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TableText">
    <w:name w:val="M Table Text"/>
    <w:basedOn w:val="MBT"/>
    <w:qFormat/>
    <w:rsid w:val="003520D5"/>
    <w:rPr>
      <w:rFonts w:ascii="Century Gothic" w:hAnsi="Century Gothic"/>
      <w:color w:val="000000" w:themeColor="text1"/>
      <w:sz w:val="18"/>
      <w:szCs w:val="18"/>
    </w:rPr>
  </w:style>
  <w:style w:type="table" w:styleId="Table3Deffects2">
    <w:name w:val="Table 3D effects 2"/>
    <w:basedOn w:val="TableNormal"/>
    <w:rsid w:val="008209B8"/>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
    <w:name w:val="Table Grid 1"/>
    <w:basedOn w:val="TableNormal"/>
    <w:rsid w:val="0046465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Multileveltable">
    <w:name w:val="M Multilevel table"/>
    <w:basedOn w:val="MMultilevel"/>
    <w:qFormat/>
    <w:rsid w:val="00E178B3"/>
    <w:pPr>
      <w:numPr>
        <w:numId w:val="5"/>
      </w:numPr>
    </w:pPr>
    <w:rPr>
      <w:lang w:eastAsia="en-GB"/>
    </w:rPr>
  </w:style>
  <w:style w:type="paragraph" w:styleId="TOCHeading">
    <w:name w:val="TOC Heading"/>
    <w:basedOn w:val="Heading1"/>
    <w:next w:val="Normal"/>
    <w:uiPriority w:val="39"/>
    <w:unhideWhenUsed/>
    <w:qFormat/>
    <w:rsid w:val="00F90C45"/>
    <w:pPr>
      <w:keepLines/>
      <w:numPr>
        <w:numId w:val="0"/>
      </w:numPr>
      <w:spacing w:before="480" w:line="276" w:lineRule="auto"/>
      <w:outlineLvl w:val="9"/>
    </w:pPr>
    <w:rPr>
      <w:rFonts w:asciiTheme="majorHAnsi" w:eastAsiaTheme="majorEastAsia" w:hAnsiTheme="majorHAnsi" w:cstheme="majorBidi"/>
      <w:bCs/>
      <w:color w:val="365F91" w:themeColor="accent1" w:themeShade="BF"/>
      <w:sz w:val="28"/>
      <w:szCs w:val="28"/>
      <w:u w:val="none"/>
      <w:lang w:val="en-US" w:eastAsia="ja-JP"/>
    </w:rPr>
  </w:style>
  <w:style w:type="character" w:customStyle="1" w:styleId="hps">
    <w:name w:val="hps"/>
    <w:rsid w:val="00670588"/>
  </w:style>
  <w:style w:type="character" w:customStyle="1" w:styleId="BodyTextChar">
    <w:name w:val="Body Text Char"/>
    <w:aliases w:val="Body Text A Char,alt+L Char,alt+B ja alt+L Char,.                 alt+L Char,Double indent Car Car Car Char,Double indent Char"/>
    <w:link w:val="BodyText"/>
    <w:rsid w:val="00C82496"/>
    <w:rPr>
      <w:sz w:val="24"/>
      <w:lang w:val="en-US" w:eastAsia="fr-FR"/>
    </w:rPr>
  </w:style>
  <w:style w:type="character" w:customStyle="1" w:styleId="CommentTextChar">
    <w:name w:val="Comment Text Char"/>
    <w:link w:val="CommentText"/>
    <w:uiPriority w:val="99"/>
    <w:rsid w:val="00DF338A"/>
    <w:rPr>
      <w:lang w:val="fr-FR" w:eastAsia="fr-FR"/>
    </w:rPr>
  </w:style>
  <w:style w:type="character" w:customStyle="1" w:styleId="HeaderChar">
    <w:name w:val="Header Char"/>
    <w:basedOn w:val="DefaultParagraphFont"/>
    <w:link w:val="Header"/>
    <w:uiPriority w:val="99"/>
    <w:rsid w:val="00E81A6C"/>
    <w:rPr>
      <w:sz w:val="24"/>
      <w:szCs w:val="24"/>
      <w:lang w:val="fr-FR" w:eastAsia="fr-FR"/>
    </w:rPr>
  </w:style>
  <w:style w:type="character" w:customStyle="1" w:styleId="FooterChar">
    <w:name w:val="Footer Char"/>
    <w:basedOn w:val="DefaultParagraphFont"/>
    <w:link w:val="Footer"/>
    <w:uiPriority w:val="99"/>
    <w:rsid w:val="00AC2EEB"/>
    <w:rPr>
      <w:sz w:val="24"/>
      <w:szCs w:val="24"/>
      <w:lang w:val="fr-FR" w:eastAsia="fr-FR"/>
    </w:rPr>
  </w:style>
  <w:style w:type="numbering" w:customStyle="1" w:styleId="Style1">
    <w:name w:val="Style1"/>
    <w:uiPriority w:val="99"/>
    <w:rsid w:val="00AC2EEB"/>
    <w:pPr>
      <w:numPr>
        <w:numId w:val="8"/>
      </w:numPr>
    </w:pPr>
  </w:style>
  <w:style w:type="character" w:customStyle="1" w:styleId="UnresolvedMention1">
    <w:name w:val="Unresolved Mention1"/>
    <w:basedOn w:val="DefaultParagraphFont"/>
    <w:uiPriority w:val="99"/>
    <w:semiHidden/>
    <w:unhideWhenUsed/>
    <w:rsid w:val="00AA159D"/>
    <w:rPr>
      <w:color w:val="808080"/>
      <w:shd w:val="clear" w:color="auto" w:fill="E6E6E6"/>
    </w:rPr>
  </w:style>
  <w:style w:type="character" w:styleId="FollowedHyperlink">
    <w:name w:val="FollowedHyperlink"/>
    <w:basedOn w:val="DefaultParagraphFont"/>
    <w:semiHidden/>
    <w:unhideWhenUsed/>
    <w:rsid w:val="00AA159D"/>
    <w:rPr>
      <w:color w:val="800080" w:themeColor="followedHyperlink"/>
      <w:u w:val="single"/>
    </w:rPr>
  </w:style>
  <w:style w:type="paragraph" w:styleId="Revision">
    <w:name w:val="Revision"/>
    <w:hidden/>
    <w:uiPriority w:val="99"/>
    <w:semiHidden/>
    <w:rsid w:val="00B44BF8"/>
    <w:rPr>
      <w:sz w:val="24"/>
      <w:szCs w:val="24"/>
      <w:lang w:eastAsia="fr-FR"/>
    </w:rPr>
  </w:style>
  <w:style w:type="character" w:customStyle="1" w:styleId="UnresolvedMention2">
    <w:name w:val="Unresolved Mention2"/>
    <w:basedOn w:val="DefaultParagraphFont"/>
    <w:uiPriority w:val="99"/>
    <w:semiHidden/>
    <w:unhideWhenUsed/>
    <w:rsid w:val="00DA1656"/>
    <w:rPr>
      <w:color w:val="808080"/>
      <w:shd w:val="clear" w:color="auto" w:fill="E6E6E6"/>
    </w:rPr>
  </w:style>
  <w:style w:type="character" w:styleId="EndnoteReference">
    <w:name w:val="endnote reference"/>
    <w:basedOn w:val="DefaultParagraphFont"/>
    <w:semiHidden/>
    <w:unhideWhenUsed/>
    <w:rsid w:val="00DE4C72"/>
    <w:rPr>
      <w:vertAlign w:val="superscript"/>
    </w:rPr>
  </w:style>
  <w:style w:type="character" w:customStyle="1" w:styleId="UnresolvedMention3">
    <w:name w:val="Unresolved Mention3"/>
    <w:basedOn w:val="DefaultParagraphFont"/>
    <w:uiPriority w:val="99"/>
    <w:semiHidden/>
    <w:unhideWhenUsed/>
    <w:rsid w:val="009D1876"/>
    <w:rPr>
      <w:color w:val="808080"/>
      <w:shd w:val="clear" w:color="auto" w:fill="E6E6E6"/>
    </w:rPr>
  </w:style>
  <w:style w:type="character" w:customStyle="1" w:styleId="UnresolvedMention4">
    <w:name w:val="Unresolved Mention4"/>
    <w:basedOn w:val="DefaultParagraphFont"/>
    <w:uiPriority w:val="99"/>
    <w:semiHidden/>
    <w:unhideWhenUsed/>
    <w:rsid w:val="00157CCB"/>
    <w:rPr>
      <w:color w:val="808080"/>
      <w:shd w:val="clear" w:color="auto" w:fill="E6E6E6"/>
    </w:rPr>
  </w:style>
  <w:style w:type="character" w:customStyle="1" w:styleId="UnresolvedMention">
    <w:name w:val="Unresolved Mention"/>
    <w:basedOn w:val="DefaultParagraphFont"/>
    <w:uiPriority w:val="99"/>
    <w:semiHidden/>
    <w:unhideWhenUsed/>
    <w:rsid w:val="0042433B"/>
    <w:rPr>
      <w:color w:val="808080"/>
      <w:shd w:val="clear" w:color="auto" w:fill="E6E6E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lsdException w:name="heading 1" w:semiHidden="0" w:unhideWhenUsed="0"/>
    <w:lsdException w:name="heading 2" w:semiHidden="0" w:unhideWhenUsed="0"/>
    <w:lsdException w:name="heading 3" w:semiHidden="0" w:unhideWhenUsed="0"/>
    <w:lsdException w:name="heading 4" w:semiHidden="0" w:unhideWhenUsed="0"/>
    <w:lsdException w:name="heading 5" w:semiHidden="0" w:unhideWhenUsed="0"/>
    <w:lsdException w:name="toc 1" w:uiPriority="39"/>
    <w:lsdException w:name="toc 2" w:uiPriority="39"/>
    <w:lsdException w:name="toc 3" w:uiPriority="39"/>
    <w:lsdException w:name="footnote text" w:uiPriority="99" w:qFormat="1"/>
    <w:lsdException w:name="annotation text" w:uiPriority="99"/>
    <w:lsdException w:name="header" w:uiPriority="99"/>
    <w:lsdException w:name="footer" w:uiPriority="99"/>
    <w:lsdException w:name="caption" w:qFormat="1"/>
    <w:lsdException w:name="footnote reference" w:uiPriority="99" w:qFormat="1"/>
    <w:lsdException w:name="annotation reference" w:uiPriority="99"/>
    <w:lsdException w:name="page number" w:uiPriority="99"/>
    <w:lsdException w:name="List Bullet" w:semiHidden="0" w:unhideWhenUsed="0"/>
    <w:lsdException w:name="List 3" w:semiHidden="0" w:unhideWhenUsed="0"/>
    <w:lsdException w:name="List 4" w:semiHidden="0" w:unhideWhenUsed="0"/>
    <w:lsdException w:name="Title" w:semiHidden="0" w:unhideWhenUsed="0"/>
    <w:lsdException w:name="Message Header" w:semiHidden="0" w:unhideWhenUsed="0"/>
    <w:lsdException w:name="Subtitle" w:semiHidden="0" w:unhideWhenUsed="0"/>
    <w:lsdException w:name="Salutation" w:semiHidden="0" w:unhideWhenUsed="0"/>
    <w:lsdException w:name="Date" w:semiHidden="0" w:unhideWhenUsed="0"/>
    <w:lsdException w:name="Hyperlink" w:uiPriority="99"/>
    <w:lsdException w:name="Strong" w:semiHidden="0" w:uiPriority="22" w:unhideWhenUsed="0" w:qFormat="1"/>
    <w:lsdException w:name="Emphasis" w:semiHidden="0" w:uiPriority="20" w:unhideWhenUsed="0"/>
    <w:lsdException w:name="Normal (Web)" w:uiPriority="99"/>
    <w:lsdException w:name="Table Grid" w:semiHidden="0" w:uiPriority="39" w:unhideWhenUsed="0"/>
    <w:lsdException w:name="Placeholder Text" w:uiPriority="99" w:unhideWhenUsed="0"/>
    <w:lsdException w:name="No Spacing" w:semiHidden="0" w:uiPriority="9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C90D0E"/>
    <w:rPr>
      <w:sz w:val="24"/>
      <w:szCs w:val="24"/>
      <w:lang w:eastAsia="fr-FR"/>
    </w:rPr>
  </w:style>
  <w:style w:type="paragraph" w:styleId="Heading1">
    <w:name w:val="heading 1"/>
    <w:basedOn w:val="Normal"/>
    <w:next w:val="Normal"/>
    <w:link w:val="Heading1Char"/>
    <w:rsid w:val="001F14FD"/>
    <w:pPr>
      <w:keepNext/>
      <w:numPr>
        <w:numId w:val="1"/>
      </w:numPr>
      <w:outlineLvl w:val="0"/>
    </w:pPr>
    <w:rPr>
      <w:b/>
      <w:u w:val="single"/>
    </w:rPr>
  </w:style>
  <w:style w:type="paragraph" w:styleId="Heading2">
    <w:name w:val="heading 2"/>
    <w:basedOn w:val="Normal"/>
    <w:next w:val="Normal"/>
    <w:link w:val="Heading2Char"/>
    <w:rsid w:val="00214D8E"/>
    <w:pPr>
      <w:keepNext/>
      <w:tabs>
        <w:tab w:val="num" w:pos="576"/>
      </w:tabs>
      <w:spacing w:before="240" w:after="60"/>
      <w:ind w:left="576" w:hanging="576"/>
      <w:outlineLvl w:val="1"/>
    </w:pPr>
    <w:rPr>
      <w:rFonts w:ascii="Arial" w:hAnsi="Arial" w:cs="Arial"/>
      <w:b/>
      <w:bCs/>
      <w:i/>
      <w:iCs/>
      <w:sz w:val="28"/>
      <w:szCs w:val="28"/>
    </w:rPr>
  </w:style>
  <w:style w:type="paragraph" w:styleId="Heading3">
    <w:name w:val="heading 3"/>
    <w:basedOn w:val="Normal"/>
    <w:next w:val="Normal"/>
    <w:link w:val="Heading3Char"/>
    <w:rsid w:val="00214D8E"/>
    <w:pPr>
      <w:keepNext/>
      <w:tabs>
        <w:tab w:val="num" w:pos="720"/>
      </w:tabs>
      <w:spacing w:before="240" w:after="60"/>
      <w:ind w:left="720" w:hanging="720"/>
      <w:outlineLvl w:val="2"/>
    </w:pPr>
    <w:rPr>
      <w:rFonts w:ascii="Arial" w:hAnsi="Arial" w:cs="Arial"/>
      <w:b/>
      <w:bCs/>
      <w:sz w:val="26"/>
      <w:szCs w:val="26"/>
    </w:rPr>
  </w:style>
  <w:style w:type="paragraph" w:styleId="Heading4">
    <w:name w:val="heading 4"/>
    <w:basedOn w:val="Normal"/>
    <w:next w:val="Normal"/>
    <w:link w:val="Heading4Char"/>
    <w:rsid w:val="00214D8E"/>
    <w:pPr>
      <w:keepNext/>
      <w:tabs>
        <w:tab w:val="num" w:pos="1764"/>
      </w:tabs>
      <w:spacing w:before="240" w:after="60"/>
      <w:ind w:left="1764" w:hanging="864"/>
      <w:outlineLvl w:val="3"/>
    </w:pPr>
    <w:rPr>
      <w:b/>
      <w:bCs/>
      <w:sz w:val="28"/>
      <w:szCs w:val="28"/>
    </w:rPr>
  </w:style>
  <w:style w:type="paragraph" w:styleId="Heading5">
    <w:name w:val="heading 5"/>
    <w:basedOn w:val="Normal"/>
    <w:next w:val="Normal"/>
    <w:rsid w:val="00214D8E"/>
    <w:pPr>
      <w:numPr>
        <w:ilvl w:val="4"/>
        <w:numId w:val="7"/>
      </w:numPr>
      <w:spacing w:before="240" w:after="60"/>
      <w:outlineLvl w:val="4"/>
    </w:pPr>
    <w:rPr>
      <w:b/>
      <w:bCs/>
      <w:i/>
      <w:iCs/>
      <w:sz w:val="26"/>
      <w:szCs w:val="26"/>
    </w:rPr>
  </w:style>
  <w:style w:type="paragraph" w:styleId="Heading6">
    <w:name w:val="heading 6"/>
    <w:basedOn w:val="Normal"/>
    <w:next w:val="Normal"/>
    <w:rsid w:val="00214D8E"/>
    <w:pPr>
      <w:numPr>
        <w:ilvl w:val="5"/>
        <w:numId w:val="7"/>
      </w:numPr>
      <w:spacing w:before="240" w:after="60"/>
      <w:outlineLvl w:val="5"/>
    </w:pPr>
    <w:rPr>
      <w:b/>
      <w:bCs/>
      <w:sz w:val="22"/>
      <w:szCs w:val="22"/>
    </w:rPr>
  </w:style>
  <w:style w:type="paragraph" w:styleId="Heading7">
    <w:name w:val="heading 7"/>
    <w:basedOn w:val="Normal"/>
    <w:next w:val="Normal"/>
    <w:rsid w:val="00214D8E"/>
    <w:pPr>
      <w:numPr>
        <w:ilvl w:val="6"/>
        <w:numId w:val="7"/>
      </w:numPr>
      <w:spacing w:before="240" w:after="60"/>
      <w:outlineLvl w:val="6"/>
    </w:pPr>
  </w:style>
  <w:style w:type="paragraph" w:styleId="Heading8">
    <w:name w:val="heading 8"/>
    <w:basedOn w:val="Normal"/>
    <w:next w:val="Normal"/>
    <w:rsid w:val="00214D8E"/>
    <w:pPr>
      <w:numPr>
        <w:ilvl w:val="7"/>
        <w:numId w:val="7"/>
      </w:numPr>
      <w:spacing w:before="240" w:after="60"/>
      <w:outlineLvl w:val="7"/>
    </w:pPr>
    <w:rPr>
      <w:i/>
      <w:iCs/>
    </w:rPr>
  </w:style>
  <w:style w:type="paragraph" w:styleId="Heading9">
    <w:name w:val="heading 9"/>
    <w:basedOn w:val="Normal"/>
    <w:next w:val="Normal"/>
    <w:rsid w:val="00214D8E"/>
    <w:pPr>
      <w:numPr>
        <w:ilvl w:val="8"/>
        <w:numId w:val="7"/>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1F14FD"/>
    <w:pPr>
      <w:tabs>
        <w:tab w:val="center" w:pos="4536"/>
        <w:tab w:val="right" w:pos="9072"/>
      </w:tabs>
    </w:pPr>
  </w:style>
  <w:style w:type="character" w:styleId="PageNumber">
    <w:name w:val="page number"/>
    <w:basedOn w:val="DefaultParagraphFont"/>
    <w:uiPriority w:val="99"/>
    <w:rsid w:val="001F14FD"/>
  </w:style>
  <w:style w:type="paragraph" w:styleId="BodyText">
    <w:name w:val="Body Text"/>
    <w:aliases w:val="Body Text A,alt+L,alt+B ja alt+L,.                 alt+L,Double indent Car Car Car,Double indent"/>
    <w:basedOn w:val="Normal"/>
    <w:link w:val="BodyTextChar"/>
    <w:rsid w:val="001F14FD"/>
    <w:rPr>
      <w:szCs w:val="20"/>
      <w:lang w:val="en-US"/>
    </w:rPr>
  </w:style>
  <w:style w:type="character" w:styleId="Hyperlink">
    <w:name w:val="Hyperlink"/>
    <w:uiPriority w:val="99"/>
    <w:rsid w:val="001F14FD"/>
    <w:rPr>
      <w:color w:val="0000FF"/>
      <w:u w:val="single"/>
    </w:rPr>
  </w:style>
  <w:style w:type="paragraph" w:styleId="BlockText">
    <w:name w:val="Block Text"/>
    <w:basedOn w:val="Normal"/>
    <w:rsid w:val="001F14FD"/>
    <w:pPr>
      <w:tabs>
        <w:tab w:val="left" w:pos="0"/>
      </w:tabs>
      <w:suppressAutoHyphens/>
      <w:ind w:left="340" w:right="340"/>
      <w:jc w:val="both"/>
    </w:pPr>
    <w:rPr>
      <w:szCs w:val="20"/>
      <w:lang w:val="es-ES_tradnl" w:eastAsia="en-US"/>
    </w:rPr>
  </w:style>
  <w:style w:type="paragraph" w:styleId="TOC1">
    <w:name w:val="toc 1"/>
    <w:basedOn w:val="Normal"/>
    <w:next w:val="Normal"/>
    <w:autoRedefine/>
    <w:uiPriority w:val="39"/>
    <w:rsid w:val="00BD262D"/>
    <w:pPr>
      <w:tabs>
        <w:tab w:val="left" w:pos="480"/>
        <w:tab w:val="right" w:leader="dot" w:pos="9060"/>
      </w:tabs>
      <w:ind w:left="426" w:hanging="426"/>
    </w:pPr>
    <w:rPr>
      <w:rFonts w:ascii="Century Gothic" w:hAnsi="Century Gothic"/>
      <w:b/>
      <w:bCs/>
      <w:caps/>
      <w:noProof/>
      <w:sz w:val="22"/>
      <w:szCs w:val="22"/>
    </w:rPr>
  </w:style>
  <w:style w:type="paragraph" w:styleId="TOC2">
    <w:name w:val="toc 2"/>
    <w:basedOn w:val="Normal"/>
    <w:next w:val="Normal"/>
    <w:autoRedefine/>
    <w:uiPriority w:val="39"/>
    <w:rsid w:val="003F42A4"/>
    <w:pPr>
      <w:tabs>
        <w:tab w:val="right" w:leader="dot" w:pos="9062"/>
      </w:tabs>
      <w:ind w:left="1134" w:hanging="708"/>
    </w:pPr>
    <w:rPr>
      <w:rFonts w:ascii="Century Gothic" w:hAnsi="Century Gothic"/>
      <w:noProof/>
      <w:sz w:val="22"/>
      <w:szCs w:val="22"/>
    </w:rPr>
  </w:style>
  <w:style w:type="paragraph" w:styleId="NormalWeb">
    <w:name w:val="Normal (Web)"/>
    <w:basedOn w:val="Normal"/>
    <w:uiPriority w:val="99"/>
    <w:rsid w:val="001F14FD"/>
    <w:pPr>
      <w:spacing w:before="100" w:beforeAutospacing="1" w:after="100" w:afterAutospacing="1"/>
    </w:pPr>
    <w:rPr>
      <w:rFonts w:ascii="Arial" w:hAnsi="Arial" w:cs="Arial"/>
      <w:color w:val="000066"/>
      <w:sz w:val="20"/>
      <w:szCs w:val="20"/>
    </w:rPr>
  </w:style>
  <w:style w:type="paragraph" w:styleId="Header">
    <w:name w:val="header"/>
    <w:basedOn w:val="Normal"/>
    <w:link w:val="HeaderChar"/>
    <w:uiPriority w:val="99"/>
    <w:rsid w:val="001F14FD"/>
    <w:pPr>
      <w:tabs>
        <w:tab w:val="center" w:pos="4153"/>
        <w:tab w:val="right" w:pos="8306"/>
      </w:tabs>
    </w:pPr>
  </w:style>
  <w:style w:type="paragraph" w:styleId="TOC3">
    <w:name w:val="toc 3"/>
    <w:basedOn w:val="Normal"/>
    <w:next w:val="Normal"/>
    <w:autoRedefine/>
    <w:uiPriority w:val="39"/>
    <w:rsid w:val="000C507F"/>
    <w:pPr>
      <w:tabs>
        <w:tab w:val="left" w:pos="1985"/>
        <w:tab w:val="right" w:leader="dot" w:pos="9060"/>
      </w:tabs>
      <w:ind w:left="1134"/>
    </w:pPr>
    <w:rPr>
      <w:rFonts w:ascii="Century Gothic" w:hAnsi="Century Gothic"/>
      <w:sz w:val="22"/>
    </w:rPr>
  </w:style>
  <w:style w:type="table" w:styleId="TableGrid">
    <w:name w:val="Table Grid"/>
    <w:basedOn w:val="TableNormal"/>
    <w:uiPriority w:val="39"/>
    <w:rsid w:val="004305D4"/>
    <w:rPr>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rsid w:val="003354D3"/>
    <w:pPr>
      <w:spacing w:after="120"/>
    </w:pPr>
    <w:rPr>
      <w:sz w:val="16"/>
      <w:szCs w:val="16"/>
    </w:rPr>
  </w:style>
  <w:style w:type="character" w:styleId="CommentReference">
    <w:name w:val="annotation reference"/>
    <w:uiPriority w:val="99"/>
    <w:semiHidden/>
    <w:rsid w:val="00AD1D11"/>
    <w:rPr>
      <w:sz w:val="16"/>
      <w:szCs w:val="16"/>
    </w:rPr>
  </w:style>
  <w:style w:type="paragraph" w:styleId="CommentText">
    <w:name w:val="annotation text"/>
    <w:basedOn w:val="Normal"/>
    <w:link w:val="CommentTextChar"/>
    <w:uiPriority w:val="99"/>
    <w:rsid w:val="00AD1D11"/>
    <w:rPr>
      <w:sz w:val="20"/>
      <w:szCs w:val="20"/>
    </w:rPr>
  </w:style>
  <w:style w:type="paragraph" w:styleId="CommentSubject">
    <w:name w:val="annotation subject"/>
    <w:basedOn w:val="CommentText"/>
    <w:next w:val="CommentText"/>
    <w:semiHidden/>
    <w:rsid w:val="00AD1D11"/>
    <w:rPr>
      <w:b/>
      <w:bCs/>
    </w:rPr>
  </w:style>
  <w:style w:type="paragraph" w:styleId="BalloonText">
    <w:name w:val="Balloon Text"/>
    <w:basedOn w:val="Normal"/>
    <w:semiHidden/>
    <w:rsid w:val="00AD1D11"/>
    <w:rPr>
      <w:rFonts w:ascii="Tahoma" w:hAnsi="Tahoma" w:cs="Tahoma"/>
      <w:sz w:val="16"/>
      <w:szCs w:val="16"/>
    </w:rPr>
  </w:style>
  <w:style w:type="character" w:styleId="Strong">
    <w:name w:val="Strong"/>
    <w:uiPriority w:val="22"/>
    <w:qFormat/>
    <w:rsid w:val="00C22B2E"/>
    <w:rPr>
      <w:b/>
      <w:bCs/>
    </w:rPr>
  </w:style>
  <w:style w:type="character" w:styleId="FootnoteReference">
    <w:name w:val="footnote reference"/>
    <w:aliases w:val="Footnote Refernece,BVI fnr,callout,16 Point,Superscript 6 Point,Odwołanie przypisu,Footnote symbol,Footnote Reference Number,Footnote Reference Superscript,SUPERS,Times 10 Point,Exposant 3 Point,Ref,de nota al pie,number, BVI fnr,FR,F"/>
    <w:uiPriority w:val="99"/>
    <w:qFormat/>
    <w:rsid w:val="000B0F0A"/>
    <w:rPr>
      <w:vertAlign w:val="superscript"/>
    </w:rPr>
  </w:style>
  <w:style w:type="paragraph" w:styleId="ListParagraph">
    <w:name w:val="List Paragraph"/>
    <w:aliases w:val="Heading 2_sj,List Paragraph1"/>
    <w:basedOn w:val="Normal"/>
    <w:uiPriority w:val="34"/>
    <w:qFormat/>
    <w:rsid w:val="000B0F0A"/>
    <w:pPr>
      <w:ind w:left="720"/>
      <w:contextualSpacing/>
      <w:jc w:val="both"/>
    </w:pPr>
    <w:rPr>
      <w:sz w:val="22"/>
      <w:szCs w:val="20"/>
    </w:rPr>
  </w:style>
  <w:style w:type="paragraph" w:styleId="FootnoteText">
    <w:name w:val="footnote text"/>
    <w:aliases w:val="M Footnotes"/>
    <w:basedOn w:val="Normal"/>
    <w:link w:val="FootnoteTextChar"/>
    <w:uiPriority w:val="99"/>
    <w:qFormat/>
    <w:rsid w:val="003520D5"/>
    <w:pPr>
      <w:jc w:val="both"/>
    </w:pPr>
    <w:rPr>
      <w:sz w:val="18"/>
      <w:szCs w:val="22"/>
    </w:rPr>
  </w:style>
  <w:style w:type="character" w:customStyle="1" w:styleId="FootnoteTextChar">
    <w:name w:val="Footnote Text Char"/>
    <w:aliases w:val="M Footnotes Char"/>
    <w:link w:val="FootnoteText"/>
    <w:uiPriority w:val="99"/>
    <w:rsid w:val="003520D5"/>
    <w:rPr>
      <w:sz w:val="18"/>
      <w:szCs w:val="22"/>
      <w:lang w:eastAsia="fr-FR"/>
    </w:rPr>
  </w:style>
  <w:style w:type="character" w:styleId="Emphasis">
    <w:name w:val="Emphasis"/>
    <w:uiPriority w:val="20"/>
    <w:rsid w:val="005703D4"/>
    <w:rPr>
      <w:i/>
    </w:rPr>
  </w:style>
  <w:style w:type="paragraph" w:customStyle="1" w:styleId="Default">
    <w:name w:val="Default"/>
    <w:rsid w:val="005703D4"/>
    <w:pPr>
      <w:autoSpaceDE w:val="0"/>
      <w:autoSpaceDN w:val="0"/>
      <w:adjustRightInd w:val="0"/>
    </w:pPr>
    <w:rPr>
      <w:rFonts w:ascii="EUAlbertina" w:eastAsia="Calibri" w:hAnsi="EUAlbertina" w:cs="EUAlbertina"/>
      <w:color w:val="000000"/>
      <w:sz w:val="24"/>
      <w:szCs w:val="24"/>
      <w:lang w:val="fr-BE" w:eastAsia="en-US"/>
    </w:rPr>
  </w:style>
  <w:style w:type="paragraph" w:customStyle="1" w:styleId="MBT">
    <w:name w:val="M BT"/>
    <w:basedOn w:val="Normal"/>
    <w:link w:val="MBTChar"/>
    <w:qFormat/>
    <w:rsid w:val="003520D5"/>
    <w:pPr>
      <w:widowControl w:val="0"/>
      <w:jc w:val="both"/>
    </w:pPr>
    <w:rPr>
      <w:bCs/>
      <w:sz w:val="22"/>
      <w:szCs w:val="22"/>
      <w:lang w:val="en-US"/>
    </w:rPr>
  </w:style>
  <w:style w:type="paragraph" w:customStyle="1" w:styleId="MH1">
    <w:name w:val="M H 1"/>
    <w:basedOn w:val="Heading1"/>
    <w:next w:val="MBT"/>
    <w:link w:val="MH1Char"/>
    <w:qFormat/>
    <w:rsid w:val="00214D8E"/>
    <w:pPr>
      <w:pageBreakBefore/>
      <w:numPr>
        <w:numId w:val="7"/>
      </w:numPr>
      <w:spacing w:after="480"/>
      <w:jc w:val="both"/>
    </w:pPr>
    <w:rPr>
      <w:rFonts w:ascii="Century Gothic" w:hAnsi="Century Gothic"/>
      <w:caps/>
      <w:u w:val="none"/>
    </w:rPr>
  </w:style>
  <w:style w:type="character" w:customStyle="1" w:styleId="MBTChar">
    <w:name w:val="M BT Char"/>
    <w:link w:val="MBT"/>
    <w:rsid w:val="003520D5"/>
    <w:rPr>
      <w:bCs/>
      <w:sz w:val="22"/>
      <w:szCs w:val="22"/>
      <w:lang w:val="en-US" w:eastAsia="fr-FR"/>
    </w:rPr>
  </w:style>
  <w:style w:type="paragraph" w:customStyle="1" w:styleId="MH1nonumb">
    <w:name w:val="M H 1 no numb"/>
    <w:basedOn w:val="MH1"/>
    <w:next w:val="MBT"/>
    <w:link w:val="MH1nonumbChar"/>
    <w:qFormat/>
    <w:rsid w:val="003520D5"/>
    <w:pPr>
      <w:numPr>
        <w:numId w:val="0"/>
      </w:numPr>
    </w:pPr>
  </w:style>
  <w:style w:type="character" w:customStyle="1" w:styleId="Heading1Char">
    <w:name w:val="Heading 1 Char"/>
    <w:link w:val="Heading1"/>
    <w:rsid w:val="001B161E"/>
    <w:rPr>
      <w:b/>
      <w:sz w:val="24"/>
      <w:szCs w:val="24"/>
      <w:u w:val="single"/>
      <w:lang w:eastAsia="fr-FR"/>
    </w:rPr>
  </w:style>
  <w:style w:type="character" w:customStyle="1" w:styleId="MH1Char">
    <w:name w:val="M H 1 Char"/>
    <w:link w:val="MH1"/>
    <w:rsid w:val="003520D5"/>
    <w:rPr>
      <w:rFonts w:ascii="Century Gothic" w:hAnsi="Century Gothic"/>
      <w:b/>
      <w:caps/>
      <w:sz w:val="24"/>
      <w:szCs w:val="24"/>
      <w:lang w:eastAsia="fr-FR"/>
    </w:rPr>
  </w:style>
  <w:style w:type="paragraph" w:customStyle="1" w:styleId="MH2">
    <w:name w:val="M H 2"/>
    <w:basedOn w:val="Heading2"/>
    <w:next w:val="MBT"/>
    <w:link w:val="MH2Char"/>
    <w:qFormat/>
    <w:rsid w:val="0007122D"/>
    <w:pPr>
      <w:numPr>
        <w:ilvl w:val="1"/>
        <w:numId w:val="3"/>
      </w:numPr>
      <w:spacing w:before="0" w:after="240"/>
      <w:ind w:left="578" w:hanging="578"/>
      <w:jc w:val="both"/>
    </w:pPr>
    <w:rPr>
      <w:rFonts w:ascii="Century Gothic" w:hAnsi="Century Gothic"/>
      <w:i w:val="0"/>
      <w:caps/>
      <w:sz w:val="22"/>
    </w:rPr>
  </w:style>
  <w:style w:type="character" w:customStyle="1" w:styleId="MH1nonumbChar">
    <w:name w:val="M H 1 no numb Char"/>
    <w:link w:val="MH1nonumb"/>
    <w:rsid w:val="003520D5"/>
    <w:rPr>
      <w:rFonts w:ascii="Century Gothic" w:hAnsi="Century Gothic"/>
      <w:b/>
      <w:caps/>
      <w:sz w:val="24"/>
      <w:szCs w:val="24"/>
      <w:lang w:eastAsia="fr-FR"/>
    </w:rPr>
  </w:style>
  <w:style w:type="paragraph" w:customStyle="1" w:styleId="MH3">
    <w:name w:val="M H 3"/>
    <w:basedOn w:val="Heading3"/>
    <w:next w:val="MBT"/>
    <w:link w:val="MH3Char"/>
    <w:qFormat/>
    <w:rsid w:val="0007122D"/>
    <w:pPr>
      <w:numPr>
        <w:ilvl w:val="2"/>
        <w:numId w:val="3"/>
      </w:numPr>
      <w:spacing w:before="0" w:after="240"/>
      <w:jc w:val="both"/>
    </w:pPr>
    <w:rPr>
      <w:rFonts w:ascii="Century Gothic" w:hAnsi="Century Gothic"/>
      <w:sz w:val="22"/>
      <w:szCs w:val="22"/>
    </w:rPr>
  </w:style>
  <w:style w:type="character" w:customStyle="1" w:styleId="Heading2Char">
    <w:name w:val="Heading 2 Char"/>
    <w:link w:val="Heading2"/>
    <w:rsid w:val="00E71143"/>
    <w:rPr>
      <w:rFonts w:ascii="Arial" w:hAnsi="Arial" w:cs="Arial"/>
      <w:b/>
      <w:bCs/>
      <w:i/>
      <w:iCs/>
      <w:sz w:val="28"/>
      <w:szCs w:val="28"/>
      <w:lang w:val="fr-FR" w:eastAsia="fr-FR"/>
    </w:rPr>
  </w:style>
  <w:style w:type="character" w:customStyle="1" w:styleId="MH2Char">
    <w:name w:val="M H 2 Char"/>
    <w:link w:val="MH2"/>
    <w:rsid w:val="0007122D"/>
    <w:rPr>
      <w:rFonts w:ascii="Century Gothic" w:hAnsi="Century Gothic" w:cs="Arial"/>
      <w:b/>
      <w:bCs/>
      <w:iCs/>
      <w:caps/>
      <w:sz w:val="22"/>
      <w:szCs w:val="28"/>
      <w:lang w:eastAsia="fr-FR"/>
    </w:rPr>
  </w:style>
  <w:style w:type="paragraph" w:customStyle="1" w:styleId="MH4">
    <w:name w:val="M H 4"/>
    <w:basedOn w:val="Heading4"/>
    <w:next w:val="MBT"/>
    <w:link w:val="MH4Char"/>
    <w:qFormat/>
    <w:rsid w:val="0007122D"/>
    <w:pPr>
      <w:numPr>
        <w:ilvl w:val="3"/>
        <w:numId w:val="3"/>
      </w:numPr>
      <w:tabs>
        <w:tab w:val="clear" w:pos="1764"/>
        <w:tab w:val="num" w:pos="851"/>
      </w:tabs>
      <w:spacing w:before="0" w:after="240"/>
      <w:ind w:left="868" w:hanging="868"/>
      <w:jc w:val="both"/>
    </w:pPr>
    <w:rPr>
      <w:rFonts w:ascii="Century Gothic" w:hAnsi="Century Gothic"/>
      <w:b w:val="0"/>
      <w:sz w:val="22"/>
      <w:szCs w:val="22"/>
    </w:rPr>
  </w:style>
  <w:style w:type="character" w:customStyle="1" w:styleId="Heading3Char">
    <w:name w:val="Heading 3 Char"/>
    <w:link w:val="Heading3"/>
    <w:rsid w:val="00037885"/>
    <w:rPr>
      <w:rFonts w:ascii="Arial" w:hAnsi="Arial" w:cs="Arial"/>
      <w:b/>
      <w:bCs/>
      <w:sz w:val="26"/>
      <w:szCs w:val="26"/>
      <w:lang w:val="fr-FR" w:eastAsia="fr-FR"/>
    </w:rPr>
  </w:style>
  <w:style w:type="character" w:customStyle="1" w:styleId="MH3Char">
    <w:name w:val="M H 3 Char"/>
    <w:link w:val="MH3"/>
    <w:rsid w:val="0007122D"/>
    <w:rPr>
      <w:rFonts w:ascii="Century Gothic" w:hAnsi="Century Gothic" w:cs="Arial"/>
      <w:b/>
      <w:bCs/>
      <w:sz w:val="22"/>
      <w:szCs w:val="22"/>
      <w:lang w:eastAsia="fr-FR"/>
    </w:rPr>
  </w:style>
  <w:style w:type="paragraph" w:customStyle="1" w:styleId="MMultilevel">
    <w:name w:val="M Multilevel"/>
    <w:basedOn w:val="Normal"/>
    <w:link w:val="MMultilevelChar"/>
    <w:qFormat/>
    <w:rsid w:val="003520D5"/>
    <w:pPr>
      <w:widowControl w:val="0"/>
      <w:jc w:val="both"/>
    </w:pPr>
    <w:rPr>
      <w:bCs/>
      <w:sz w:val="22"/>
      <w:szCs w:val="22"/>
      <w:lang w:val="en-US"/>
    </w:rPr>
  </w:style>
  <w:style w:type="character" w:customStyle="1" w:styleId="Heading4Char">
    <w:name w:val="Heading 4 Char"/>
    <w:link w:val="Heading4"/>
    <w:rsid w:val="006B477D"/>
    <w:rPr>
      <w:b/>
      <w:bCs/>
      <w:sz w:val="28"/>
      <w:szCs w:val="28"/>
      <w:lang w:val="fr-FR" w:eastAsia="fr-FR"/>
    </w:rPr>
  </w:style>
  <w:style w:type="character" w:customStyle="1" w:styleId="MH4Char">
    <w:name w:val="M H 4 Char"/>
    <w:link w:val="MH4"/>
    <w:rsid w:val="0007122D"/>
    <w:rPr>
      <w:rFonts w:ascii="Century Gothic" w:hAnsi="Century Gothic"/>
      <w:bCs/>
      <w:sz w:val="22"/>
      <w:szCs w:val="22"/>
      <w:lang w:eastAsia="fr-FR"/>
    </w:rPr>
  </w:style>
  <w:style w:type="paragraph" w:customStyle="1" w:styleId="6B1BA9E48E214D47B5AB4BF5789D4B8B">
    <w:name w:val="6B1BA9E48E214D47B5AB4BF5789D4B8B"/>
    <w:rsid w:val="00BF08BC"/>
    <w:pPr>
      <w:spacing w:after="200" w:line="276" w:lineRule="auto"/>
    </w:pPr>
    <w:rPr>
      <w:rFonts w:ascii="Calibri" w:hAnsi="Calibri"/>
      <w:sz w:val="22"/>
      <w:szCs w:val="22"/>
    </w:rPr>
  </w:style>
  <w:style w:type="character" w:customStyle="1" w:styleId="MMultilevelChar">
    <w:name w:val="M Multilevel Char"/>
    <w:link w:val="MMultilevel"/>
    <w:rsid w:val="003520D5"/>
    <w:rPr>
      <w:bCs/>
      <w:sz w:val="22"/>
      <w:szCs w:val="22"/>
      <w:lang w:val="en-US" w:eastAsia="fr-FR"/>
    </w:rPr>
  </w:style>
  <w:style w:type="numbering" w:customStyle="1" w:styleId="MilieuList">
    <w:name w:val="Milieu List"/>
    <w:uiPriority w:val="99"/>
    <w:rsid w:val="00C25C82"/>
    <w:pPr>
      <w:numPr>
        <w:numId w:val="4"/>
      </w:numPr>
    </w:pPr>
  </w:style>
  <w:style w:type="paragraph" w:styleId="Quote">
    <w:name w:val="Quote"/>
    <w:basedOn w:val="Normal"/>
    <w:next w:val="Normal"/>
    <w:link w:val="QuoteChar"/>
    <w:uiPriority w:val="29"/>
    <w:rsid w:val="000522FA"/>
    <w:pPr>
      <w:spacing w:after="200" w:line="276" w:lineRule="auto"/>
    </w:pPr>
    <w:rPr>
      <w:rFonts w:asciiTheme="minorHAnsi" w:eastAsiaTheme="minorEastAsia" w:hAnsiTheme="minorHAnsi" w:cstheme="minorBidi"/>
      <w:i/>
      <w:iCs/>
      <w:color w:val="000000" w:themeColor="text1"/>
      <w:sz w:val="22"/>
      <w:szCs w:val="22"/>
      <w:lang w:val="en-US" w:eastAsia="ja-JP"/>
    </w:rPr>
  </w:style>
  <w:style w:type="character" w:customStyle="1" w:styleId="QuoteChar">
    <w:name w:val="Quote Char"/>
    <w:basedOn w:val="DefaultParagraphFont"/>
    <w:link w:val="Quote"/>
    <w:uiPriority w:val="29"/>
    <w:rsid w:val="000522FA"/>
    <w:rPr>
      <w:rFonts w:asciiTheme="minorHAnsi" w:eastAsiaTheme="minorEastAsia" w:hAnsiTheme="minorHAnsi" w:cstheme="minorBidi"/>
      <w:i/>
      <w:iCs/>
      <w:color w:val="000000" w:themeColor="text1"/>
      <w:sz w:val="22"/>
      <w:szCs w:val="22"/>
      <w:lang w:val="en-US" w:eastAsia="ja-JP"/>
    </w:rPr>
  </w:style>
  <w:style w:type="paragraph" w:styleId="NoSpacing">
    <w:name w:val="No Spacing"/>
    <w:basedOn w:val="Normal"/>
    <w:uiPriority w:val="99"/>
    <w:rsid w:val="00AE599B"/>
    <w:rPr>
      <w:rFonts w:asciiTheme="minorHAnsi" w:eastAsiaTheme="minorHAnsi" w:hAnsiTheme="minorHAnsi"/>
      <w:color w:val="000000" w:themeColor="text1"/>
      <w:sz w:val="20"/>
      <w:szCs w:val="20"/>
      <w:lang w:val="en-US" w:eastAsia="ja-JP"/>
    </w:rPr>
  </w:style>
  <w:style w:type="paragraph" w:customStyle="1" w:styleId="8A1B7484A002489D88FC21011515A39A">
    <w:name w:val="8A1B7484A002489D88FC21011515A39A"/>
    <w:rsid w:val="00AE599B"/>
    <w:pPr>
      <w:spacing w:after="200" w:line="276" w:lineRule="auto"/>
    </w:pPr>
    <w:rPr>
      <w:rFonts w:asciiTheme="minorHAnsi" w:eastAsiaTheme="minorEastAsia" w:hAnsiTheme="minorHAnsi" w:cstheme="minorBidi"/>
      <w:sz w:val="22"/>
      <w:szCs w:val="22"/>
      <w:lang w:val="en-US" w:eastAsia="en-US"/>
    </w:rPr>
  </w:style>
  <w:style w:type="paragraph" w:customStyle="1" w:styleId="MMultilevelList">
    <w:name w:val="M Multilevel List"/>
    <w:basedOn w:val="MMultilevel"/>
    <w:link w:val="MMultilevelListChar"/>
    <w:rsid w:val="003139D6"/>
    <w:pPr>
      <w:numPr>
        <w:numId w:val="2"/>
      </w:numPr>
    </w:pPr>
  </w:style>
  <w:style w:type="character" w:customStyle="1" w:styleId="MMultilevelListChar">
    <w:name w:val="M Multilevel List Char"/>
    <w:basedOn w:val="MMultilevelChar"/>
    <w:link w:val="MMultilevelList"/>
    <w:rsid w:val="003139D6"/>
    <w:rPr>
      <w:bCs/>
      <w:sz w:val="22"/>
      <w:szCs w:val="22"/>
      <w:lang w:val="en-US" w:eastAsia="fr-FR"/>
    </w:rPr>
  </w:style>
  <w:style w:type="paragraph" w:styleId="Caption">
    <w:name w:val="caption"/>
    <w:aliases w:val="M Caption"/>
    <w:basedOn w:val="Normal"/>
    <w:next w:val="Normal"/>
    <w:unhideWhenUsed/>
    <w:qFormat/>
    <w:rsid w:val="003520D5"/>
    <w:pPr>
      <w:spacing w:after="200"/>
    </w:pPr>
    <w:rPr>
      <w:b/>
      <w:bCs/>
      <w:color w:val="000000" w:themeColor="text1"/>
      <w:sz w:val="18"/>
      <w:szCs w:val="18"/>
    </w:rPr>
  </w:style>
  <w:style w:type="table" w:customStyle="1" w:styleId="MTableStyle">
    <w:name w:val="M Table Style"/>
    <w:basedOn w:val="TableGrid1"/>
    <w:uiPriority w:val="99"/>
    <w:rsid w:val="00AB0DA2"/>
    <w:pPr>
      <w:spacing w:before="50" w:after="50"/>
    </w:pPr>
    <w:rPr>
      <w:rFonts w:ascii="Century Gothic" w:hAnsi="Century Gothic"/>
      <w:color w:val="000000" w:themeColor="text1"/>
      <w:sz w:val="18"/>
      <w:lang w:val="fr-BE" w:eastAsia="fr-BE"/>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Pr>
    <w:tcPr>
      <w:shd w:val="clear" w:color="auto" w:fill="DBDBDB" w:themeFill="background2" w:themeFillTint="66"/>
    </w:tcPr>
    <w:tblStylePr w:type="firstRow">
      <w:pPr>
        <w:keepNext w:val="0"/>
        <w:keepLines w:val="0"/>
        <w:pageBreakBefore w:val="0"/>
        <w:widowControl w:val="0"/>
        <w:suppressLineNumbers w:val="0"/>
        <w:suppressAutoHyphens w:val="0"/>
        <w:wordWrap/>
        <w:spacing w:beforeLines="0" w:before="50" w:beforeAutospacing="0" w:afterLines="0" w:after="50" w:afterAutospacing="0" w:line="240" w:lineRule="auto"/>
        <w:contextualSpacing w:val="0"/>
        <w:jc w:val="center"/>
      </w:pPr>
      <w:rPr>
        <w:rFonts w:ascii="EUAlbertina" w:hAnsi="EUAlbertina"/>
        <w:b/>
        <w:i w:val="0"/>
        <w:caps w:val="0"/>
        <w:smallCaps w:val="0"/>
        <w:strike w:val="0"/>
        <w:dstrike w:val="0"/>
        <w:vanish w:val="0"/>
        <w:color w:val="000000" w:themeColor="text1"/>
        <w:sz w:val="18"/>
        <w:vertAlign w:val="baseline"/>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l2br w:val="nil"/>
          <w:tr2bl w:val="nil"/>
        </w:tcBorders>
        <w:shd w:val="clear" w:color="auto" w:fill="7AB800" w:themeFill="text2"/>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TableText">
    <w:name w:val="M Table Text"/>
    <w:basedOn w:val="MBT"/>
    <w:qFormat/>
    <w:rsid w:val="003520D5"/>
    <w:rPr>
      <w:rFonts w:ascii="Century Gothic" w:hAnsi="Century Gothic"/>
      <w:color w:val="000000" w:themeColor="text1"/>
      <w:sz w:val="18"/>
      <w:szCs w:val="18"/>
    </w:rPr>
  </w:style>
  <w:style w:type="table" w:styleId="Table3Deffects2">
    <w:name w:val="Table 3D effects 2"/>
    <w:basedOn w:val="TableNormal"/>
    <w:rsid w:val="008209B8"/>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
    <w:name w:val="Table Grid 1"/>
    <w:basedOn w:val="TableNormal"/>
    <w:rsid w:val="0046465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Multileveltable">
    <w:name w:val="M Multilevel table"/>
    <w:basedOn w:val="MMultilevel"/>
    <w:qFormat/>
    <w:rsid w:val="00E178B3"/>
    <w:pPr>
      <w:numPr>
        <w:numId w:val="5"/>
      </w:numPr>
    </w:pPr>
    <w:rPr>
      <w:lang w:eastAsia="en-GB"/>
    </w:rPr>
  </w:style>
  <w:style w:type="paragraph" w:styleId="TOCHeading">
    <w:name w:val="TOC Heading"/>
    <w:basedOn w:val="Heading1"/>
    <w:next w:val="Normal"/>
    <w:uiPriority w:val="39"/>
    <w:unhideWhenUsed/>
    <w:qFormat/>
    <w:rsid w:val="00F90C45"/>
    <w:pPr>
      <w:keepLines/>
      <w:numPr>
        <w:numId w:val="0"/>
      </w:numPr>
      <w:spacing w:before="480" w:line="276" w:lineRule="auto"/>
      <w:outlineLvl w:val="9"/>
    </w:pPr>
    <w:rPr>
      <w:rFonts w:asciiTheme="majorHAnsi" w:eastAsiaTheme="majorEastAsia" w:hAnsiTheme="majorHAnsi" w:cstheme="majorBidi"/>
      <w:bCs/>
      <w:color w:val="365F91" w:themeColor="accent1" w:themeShade="BF"/>
      <w:sz w:val="28"/>
      <w:szCs w:val="28"/>
      <w:u w:val="none"/>
      <w:lang w:val="en-US" w:eastAsia="ja-JP"/>
    </w:rPr>
  </w:style>
  <w:style w:type="character" w:customStyle="1" w:styleId="hps">
    <w:name w:val="hps"/>
    <w:rsid w:val="00670588"/>
  </w:style>
  <w:style w:type="character" w:customStyle="1" w:styleId="BodyTextChar">
    <w:name w:val="Body Text Char"/>
    <w:aliases w:val="Body Text A Char,alt+L Char,alt+B ja alt+L Char,.                 alt+L Char,Double indent Car Car Car Char,Double indent Char"/>
    <w:link w:val="BodyText"/>
    <w:rsid w:val="00C82496"/>
    <w:rPr>
      <w:sz w:val="24"/>
      <w:lang w:val="en-US" w:eastAsia="fr-FR"/>
    </w:rPr>
  </w:style>
  <w:style w:type="character" w:customStyle="1" w:styleId="CommentTextChar">
    <w:name w:val="Comment Text Char"/>
    <w:link w:val="CommentText"/>
    <w:uiPriority w:val="99"/>
    <w:rsid w:val="00DF338A"/>
    <w:rPr>
      <w:lang w:val="fr-FR" w:eastAsia="fr-FR"/>
    </w:rPr>
  </w:style>
  <w:style w:type="character" w:customStyle="1" w:styleId="HeaderChar">
    <w:name w:val="Header Char"/>
    <w:basedOn w:val="DefaultParagraphFont"/>
    <w:link w:val="Header"/>
    <w:uiPriority w:val="99"/>
    <w:rsid w:val="00E81A6C"/>
    <w:rPr>
      <w:sz w:val="24"/>
      <w:szCs w:val="24"/>
      <w:lang w:val="fr-FR" w:eastAsia="fr-FR"/>
    </w:rPr>
  </w:style>
  <w:style w:type="character" w:customStyle="1" w:styleId="FooterChar">
    <w:name w:val="Footer Char"/>
    <w:basedOn w:val="DefaultParagraphFont"/>
    <w:link w:val="Footer"/>
    <w:uiPriority w:val="99"/>
    <w:rsid w:val="00AC2EEB"/>
    <w:rPr>
      <w:sz w:val="24"/>
      <w:szCs w:val="24"/>
      <w:lang w:val="fr-FR" w:eastAsia="fr-FR"/>
    </w:rPr>
  </w:style>
  <w:style w:type="numbering" w:customStyle="1" w:styleId="Style1">
    <w:name w:val="Style1"/>
    <w:uiPriority w:val="99"/>
    <w:rsid w:val="00AC2EEB"/>
    <w:pPr>
      <w:numPr>
        <w:numId w:val="8"/>
      </w:numPr>
    </w:pPr>
  </w:style>
  <w:style w:type="character" w:customStyle="1" w:styleId="UnresolvedMention1">
    <w:name w:val="Unresolved Mention1"/>
    <w:basedOn w:val="DefaultParagraphFont"/>
    <w:uiPriority w:val="99"/>
    <w:semiHidden/>
    <w:unhideWhenUsed/>
    <w:rsid w:val="00AA159D"/>
    <w:rPr>
      <w:color w:val="808080"/>
      <w:shd w:val="clear" w:color="auto" w:fill="E6E6E6"/>
    </w:rPr>
  </w:style>
  <w:style w:type="character" w:styleId="FollowedHyperlink">
    <w:name w:val="FollowedHyperlink"/>
    <w:basedOn w:val="DefaultParagraphFont"/>
    <w:semiHidden/>
    <w:unhideWhenUsed/>
    <w:rsid w:val="00AA159D"/>
    <w:rPr>
      <w:color w:val="800080" w:themeColor="followedHyperlink"/>
      <w:u w:val="single"/>
    </w:rPr>
  </w:style>
  <w:style w:type="paragraph" w:styleId="Revision">
    <w:name w:val="Revision"/>
    <w:hidden/>
    <w:uiPriority w:val="99"/>
    <w:semiHidden/>
    <w:rsid w:val="00B44BF8"/>
    <w:rPr>
      <w:sz w:val="24"/>
      <w:szCs w:val="24"/>
      <w:lang w:eastAsia="fr-FR"/>
    </w:rPr>
  </w:style>
  <w:style w:type="character" w:customStyle="1" w:styleId="UnresolvedMention2">
    <w:name w:val="Unresolved Mention2"/>
    <w:basedOn w:val="DefaultParagraphFont"/>
    <w:uiPriority w:val="99"/>
    <w:semiHidden/>
    <w:unhideWhenUsed/>
    <w:rsid w:val="00DA1656"/>
    <w:rPr>
      <w:color w:val="808080"/>
      <w:shd w:val="clear" w:color="auto" w:fill="E6E6E6"/>
    </w:rPr>
  </w:style>
  <w:style w:type="character" w:styleId="EndnoteReference">
    <w:name w:val="endnote reference"/>
    <w:basedOn w:val="DefaultParagraphFont"/>
    <w:semiHidden/>
    <w:unhideWhenUsed/>
    <w:rsid w:val="00DE4C72"/>
    <w:rPr>
      <w:vertAlign w:val="superscript"/>
    </w:rPr>
  </w:style>
  <w:style w:type="character" w:customStyle="1" w:styleId="UnresolvedMention3">
    <w:name w:val="Unresolved Mention3"/>
    <w:basedOn w:val="DefaultParagraphFont"/>
    <w:uiPriority w:val="99"/>
    <w:semiHidden/>
    <w:unhideWhenUsed/>
    <w:rsid w:val="009D1876"/>
    <w:rPr>
      <w:color w:val="808080"/>
      <w:shd w:val="clear" w:color="auto" w:fill="E6E6E6"/>
    </w:rPr>
  </w:style>
  <w:style w:type="character" w:customStyle="1" w:styleId="UnresolvedMention4">
    <w:name w:val="Unresolved Mention4"/>
    <w:basedOn w:val="DefaultParagraphFont"/>
    <w:uiPriority w:val="99"/>
    <w:semiHidden/>
    <w:unhideWhenUsed/>
    <w:rsid w:val="00157CCB"/>
    <w:rPr>
      <w:color w:val="808080"/>
      <w:shd w:val="clear" w:color="auto" w:fill="E6E6E6"/>
    </w:rPr>
  </w:style>
  <w:style w:type="character" w:customStyle="1" w:styleId="UnresolvedMention">
    <w:name w:val="Unresolved Mention"/>
    <w:basedOn w:val="DefaultParagraphFont"/>
    <w:uiPriority w:val="99"/>
    <w:semiHidden/>
    <w:unhideWhenUsed/>
    <w:rsid w:val="0042433B"/>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222665">
      <w:bodyDiv w:val="1"/>
      <w:marLeft w:val="0"/>
      <w:marRight w:val="0"/>
      <w:marTop w:val="0"/>
      <w:marBottom w:val="0"/>
      <w:divBdr>
        <w:top w:val="none" w:sz="0" w:space="0" w:color="auto"/>
        <w:left w:val="none" w:sz="0" w:space="0" w:color="auto"/>
        <w:bottom w:val="none" w:sz="0" w:space="0" w:color="auto"/>
        <w:right w:val="none" w:sz="0" w:space="0" w:color="auto"/>
      </w:divBdr>
      <w:divsChild>
        <w:div w:id="311761445">
          <w:marLeft w:val="0"/>
          <w:marRight w:val="0"/>
          <w:marTop w:val="0"/>
          <w:marBottom w:val="0"/>
          <w:divBdr>
            <w:top w:val="none" w:sz="0" w:space="0" w:color="auto"/>
            <w:left w:val="none" w:sz="0" w:space="0" w:color="auto"/>
            <w:bottom w:val="none" w:sz="0" w:space="0" w:color="auto"/>
            <w:right w:val="none" w:sz="0" w:space="0" w:color="auto"/>
          </w:divBdr>
          <w:divsChild>
            <w:div w:id="118450594">
              <w:marLeft w:val="3225"/>
              <w:marRight w:val="0"/>
              <w:marTop w:val="0"/>
              <w:marBottom w:val="0"/>
              <w:divBdr>
                <w:top w:val="none" w:sz="0" w:space="0" w:color="auto"/>
                <w:left w:val="none" w:sz="0" w:space="0" w:color="auto"/>
                <w:bottom w:val="none" w:sz="0" w:space="0" w:color="auto"/>
                <w:right w:val="none" w:sz="0" w:space="0" w:color="auto"/>
              </w:divBdr>
              <w:divsChild>
                <w:div w:id="843327454">
                  <w:marLeft w:val="90"/>
                  <w:marRight w:val="0"/>
                  <w:marTop w:val="0"/>
                  <w:marBottom w:val="0"/>
                  <w:divBdr>
                    <w:top w:val="single" w:sz="6" w:space="0" w:color="EEEEEE"/>
                    <w:left w:val="none" w:sz="0" w:space="0" w:color="auto"/>
                    <w:bottom w:val="none" w:sz="0" w:space="0" w:color="auto"/>
                    <w:right w:val="none" w:sz="0" w:space="0" w:color="auto"/>
                  </w:divBdr>
                  <w:divsChild>
                    <w:div w:id="549151872">
                      <w:marLeft w:val="0"/>
                      <w:marRight w:val="0"/>
                      <w:marTop w:val="0"/>
                      <w:marBottom w:val="0"/>
                      <w:divBdr>
                        <w:top w:val="none" w:sz="0" w:space="0" w:color="auto"/>
                        <w:left w:val="none" w:sz="0" w:space="0" w:color="auto"/>
                        <w:bottom w:val="none" w:sz="0" w:space="0" w:color="auto"/>
                        <w:right w:val="none" w:sz="0" w:space="0" w:color="auto"/>
                      </w:divBdr>
                      <w:divsChild>
                        <w:div w:id="1173834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261065">
      <w:bodyDiv w:val="1"/>
      <w:marLeft w:val="0"/>
      <w:marRight w:val="0"/>
      <w:marTop w:val="0"/>
      <w:marBottom w:val="0"/>
      <w:divBdr>
        <w:top w:val="none" w:sz="0" w:space="0" w:color="auto"/>
        <w:left w:val="none" w:sz="0" w:space="0" w:color="auto"/>
        <w:bottom w:val="none" w:sz="0" w:space="0" w:color="auto"/>
        <w:right w:val="none" w:sz="0" w:space="0" w:color="auto"/>
      </w:divBdr>
      <w:divsChild>
        <w:div w:id="1528371886">
          <w:marLeft w:val="0"/>
          <w:marRight w:val="0"/>
          <w:marTop w:val="0"/>
          <w:marBottom w:val="0"/>
          <w:divBdr>
            <w:top w:val="none" w:sz="0" w:space="0" w:color="auto"/>
            <w:left w:val="none" w:sz="0" w:space="0" w:color="auto"/>
            <w:bottom w:val="none" w:sz="0" w:space="0" w:color="auto"/>
            <w:right w:val="none" w:sz="0" w:space="0" w:color="auto"/>
          </w:divBdr>
          <w:divsChild>
            <w:div w:id="1630431709">
              <w:marLeft w:val="3225"/>
              <w:marRight w:val="0"/>
              <w:marTop w:val="0"/>
              <w:marBottom w:val="0"/>
              <w:divBdr>
                <w:top w:val="none" w:sz="0" w:space="0" w:color="auto"/>
                <w:left w:val="none" w:sz="0" w:space="0" w:color="auto"/>
                <w:bottom w:val="none" w:sz="0" w:space="0" w:color="auto"/>
                <w:right w:val="none" w:sz="0" w:space="0" w:color="auto"/>
              </w:divBdr>
              <w:divsChild>
                <w:div w:id="1082527861">
                  <w:marLeft w:val="90"/>
                  <w:marRight w:val="0"/>
                  <w:marTop w:val="0"/>
                  <w:marBottom w:val="0"/>
                  <w:divBdr>
                    <w:top w:val="single" w:sz="6" w:space="0" w:color="EEEEEE"/>
                    <w:left w:val="none" w:sz="0" w:space="0" w:color="auto"/>
                    <w:bottom w:val="none" w:sz="0" w:space="0" w:color="auto"/>
                    <w:right w:val="none" w:sz="0" w:space="0" w:color="auto"/>
                  </w:divBdr>
                  <w:divsChild>
                    <w:div w:id="1322461986">
                      <w:marLeft w:val="0"/>
                      <w:marRight w:val="0"/>
                      <w:marTop w:val="0"/>
                      <w:marBottom w:val="0"/>
                      <w:divBdr>
                        <w:top w:val="none" w:sz="0" w:space="0" w:color="auto"/>
                        <w:left w:val="none" w:sz="0" w:space="0" w:color="auto"/>
                        <w:bottom w:val="none" w:sz="0" w:space="0" w:color="auto"/>
                        <w:right w:val="none" w:sz="0" w:space="0" w:color="auto"/>
                      </w:divBdr>
                      <w:divsChild>
                        <w:div w:id="128950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7286761">
      <w:bodyDiv w:val="1"/>
      <w:marLeft w:val="0"/>
      <w:marRight w:val="0"/>
      <w:marTop w:val="0"/>
      <w:marBottom w:val="0"/>
      <w:divBdr>
        <w:top w:val="none" w:sz="0" w:space="0" w:color="auto"/>
        <w:left w:val="none" w:sz="0" w:space="0" w:color="auto"/>
        <w:bottom w:val="none" w:sz="0" w:space="0" w:color="auto"/>
        <w:right w:val="none" w:sz="0" w:space="0" w:color="auto"/>
      </w:divBdr>
    </w:div>
    <w:div w:id="194662300">
      <w:bodyDiv w:val="1"/>
      <w:marLeft w:val="0"/>
      <w:marRight w:val="0"/>
      <w:marTop w:val="0"/>
      <w:marBottom w:val="0"/>
      <w:divBdr>
        <w:top w:val="none" w:sz="0" w:space="0" w:color="auto"/>
        <w:left w:val="none" w:sz="0" w:space="0" w:color="auto"/>
        <w:bottom w:val="none" w:sz="0" w:space="0" w:color="auto"/>
        <w:right w:val="none" w:sz="0" w:space="0" w:color="auto"/>
      </w:divBdr>
    </w:div>
    <w:div w:id="220099329">
      <w:bodyDiv w:val="1"/>
      <w:marLeft w:val="0"/>
      <w:marRight w:val="0"/>
      <w:marTop w:val="0"/>
      <w:marBottom w:val="0"/>
      <w:divBdr>
        <w:top w:val="none" w:sz="0" w:space="0" w:color="auto"/>
        <w:left w:val="none" w:sz="0" w:space="0" w:color="auto"/>
        <w:bottom w:val="none" w:sz="0" w:space="0" w:color="auto"/>
        <w:right w:val="none" w:sz="0" w:space="0" w:color="auto"/>
      </w:divBdr>
      <w:divsChild>
        <w:div w:id="1896232077">
          <w:marLeft w:val="0"/>
          <w:marRight w:val="0"/>
          <w:marTop w:val="0"/>
          <w:marBottom w:val="0"/>
          <w:divBdr>
            <w:top w:val="none" w:sz="0" w:space="0" w:color="auto"/>
            <w:left w:val="none" w:sz="0" w:space="0" w:color="auto"/>
            <w:bottom w:val="none" w:sz="0" w:space="0" w:color="auto"/>
            <w:right w:val="none" w:sz="0" w:space="0" w:color="auto"/>
          </w:divBdr>
        </w:div>
      </w:divsChild>
    </w:div>
    <w:div w:id="241572347">
      <w:bodyDiv w:val="1"/>
      <w:marLeft w:val="0"/>
      <w:marRight w:val="0"/>
      <w:marTop w:val="0"/>
      <w:marBottom w:val="0"/>
      <w:divBdr>
        <w:top w:val="none" w:sz="0" w:space="0" w:color="auto"/>
        <w:left w:val="none" w:sz="0" w:space="0" w:color="auto"/>
        <w:bottom w:val="none" w:sz="0" w:space="0" w:color="auto"/>
        <w:right w:val="none" w:sz="0" w:space="0" w:color="auto"/>
      </w:divBdr>
      <w:divsChild>
        <w:div w:id="2116896353">
          <w:marLeft w:val="0"/>
          <w:marRight w:val="0"/>
          <w:marTop w:val="0"/>
          <w:marBottom w:val="0"/>
          <w:divBdr>
            <w:top w:val="none" w:sz="0" w:space="0" w:color="auto"/>
            <w:left w:val="none" w:sz="0" w:space="0" w:color="auto"/>
            <w:bottom w:val="none" w:sz="0" w:space="0" w:color="auto"/>
            <w:right w:val="none" w:sz="0" w:space="0" w:color="auto"/>
          </w:divBdr>
          <w:divsChild>
            <w:div w:id="1379472352">
              <w:marLeft w:val="3225"/>
              <w:marRight w:val="0"/>
              <w:marTop w:val="0"/>
              <w:marBottom w:val="0"/>
              <w:divBdr>
                <w:top w:val="none" w:sz="0" w:space="0" w:color="auto"/>
                <w:left w:val="none" w:sz="0" w:space="0" w:color="auto"/>
                <w:bottom w:val="none" w:sz="0" w:space="0" w:color="auto"/>
                <w:right w:val="none" w:sz="0" w:space="0" w:color="auto"/>
              </w:divBdr>
              <w:divsChild>
                <w:div w:id="249314033">
                  <w:marLeft w:val="90"/>
                  <w:marRight w:val="0"/>
                  <w:marTop w:val="0"/>
                  <w:marBottom w:val="0"/>
                  <w:divBdr>
                    <w:top w:val="single" w:sz="6" w:space="0" w:color="EEEEEE"/>
                    <w:left w:val="none" w:sz="0" w:space="0" w:color="auto"/>
                    <w:bottom w:val="none" w:sz="0" w:space="0" w:color="auto"/>
                    <w:right w:val="none" w:sz="0" w:space="0" w:color="auto"/>
                  </w:divBdr>
                  <w:divsChild>
                    <w:div w:id="1046415417">
                      <w:marLeft w:val="0"/>
                      <w:marRight w:val="0"/>
                      <w:marTop w:val="0"/>
                      <w:marBottom w:val="0"/>
                      <w:divBdr>
                        <w:top w:val="none" w:sz="0" w:space="0" w:color="auto"/>
                        <w:left w:val="none" w:sz="0" w:space="0" w:color="auto"/>
                        <w:bottom w:val="none" w:sz="0" w:space="0" w:color="auto"/>
                        <w:right w:val="none" w:sz="0" w:space="0" w:color="auto"/>
                      </w:divBdr>
                      <w:divsChild>
                        <w:div w:id="40187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0552009">
      <w:bodyDiv w:val="1"/>
      <w:marLeft w:val="0"/>
      <w:marRight w:val="0"/>
      <w:marTop w:val="0"/>
      <w:marBottom w:val="0"/>
      <w:divBdr>
        <w:top w:val="none" w:sz="0" w:space="0" w:color="auto"/>
        <w:left w:val="none" w:sz="0" w:space="0" w:color="auto"/>
        <w:bottom w:val="none" w:sz="0" w:space="0" w:color="auto"/>
        <w:right w:val="none" w:sz="0" w:space="0" w:color="auto"/>
      </w:divBdr>
      <w:divsChild>
        <w:div w:id="1678994275">
          <w:marLeft w:val="0"/>
          <w:marRight w:val="0"/>
          <w:marTop w:val="0"/>
          <w:marBottom w:val="0"/>
          <w:divBdr>
            <w:top w:val="none" w:sz="0" w:space="0" w:color="auto"/>
            <w:left w:val="none" w:sz="0" w:space="0" w:color="auto"/>
            <w:bottom w:val="none" w:sz="0" w:space="0" w:color="auto"/>
            <w:right w:val="none" w:sz="0" w:space="0" w:color="auto"/>
          </w:divBdr>
        </w:div>
      </w:divsChild>
    </w:div>
    <w:div w:id="294988285">
      <w:bodyDiv w:val="1"/>
      <w:marLeft w:val="0"/>
      <w:marRight w:val="0"/>
      <w:marTop w:val="0"/>
      <w:marBottom w:val="0"/>
      <w:divBdr>
        <w:top w:val="none" w:sz="0" w:space="0" w:color="auto"/>
        <w:left w:val="none" w:sz="0" w:space="0" w:color="auto"/>
        <w:bottom w:val="none" w:sz="0" w:space="0" w:color="auto"/>
        <w:right w:val="none" w:sz="0" w:space="0" w:color="auto"/>
      </w:divBdr>
      <w:divsChild>
        <w:div w:id="2059864428">
          <w:marLeft w:val="0"/>
          <w:marRight w:val="0"/>
          <w:marTop w:val="0"/>
          <w:marBottom w:val="0"/>
          <w:divBdr>
            <w:top w:val="none" w:sz="0" w:space="0" w:color="auto"/>
            <w:left w:val="none" w:sz="0" w:space="0" w:color="auto"/>
            <w:bottom w:val="none" w:sz="0" w:space="0" w:color="auto"/>
            <w:right w:val="none" w:sz="0" w:space="0" w:color="auto"/>
          </w:divBdr>
          <w:divsChild>
            <w:div w:id="1841963270">
              <w:marLeft w:val="3225"/>
              <w:marRight w:val="0"/>
              <w:marTop w:val="0"/>
              <w:marBottom w:val="0"/>
              <w:divBdr>
                <w:top w:val="none" w:sz="0" w:space="0" w:color="auto"/>
                <w:left w:val="none" w:sz="0" w:space="0" w:color="auto"/>
                <w:bottom w:val="none" w:sz="0" w:space="0" w:color="auto"/>
                <w:right w:val="none" w:sz="0" w:space="0" w:color="auto"/>
              </w:divBdr>
              <w:divsChild>
                <w:div w:id="2051873960">
                  <w:marLeft w:val="90"/>
                  <w:marRight w:val="0"/>
                  <w:marTop w:val="0"/>
                  <w:marBottom w:val="0"/>
                  <w:divBdr>
                    <w:top w:val="single" w:sz="6" w:space="0" w:color="EEEEEE"/>
                    <w:left w:val="none" w:sz="0" w:space="0" w:color="auto"/>
                    <w:bottom w:val="none" w:sz="0" w:space="0" w:color="auto"/>
                    <w:right w:val="none" w:sz="0" w:space="0" w:color="auto"/>
                  </w:divBdr>
                  <w:divsChild>
                    <w:div w:id="1710762630">
                      <w:marLeft w:val="0"/>
                      <w:marRight w:val="0"/>
                      <w:marTop w:val="0"/>
                      <w:marBottom w:val="0"/>
                      <w:divBdr>
                        <w:top w:val="none" w:sz="0" w:space="0" w:color="auto"/>
                        <w:left w:val="none" w:sz="0" w:space="0" w:color="auto"/>
                        <w:bottom w:val="none" w:sz="0" w:space="0" w:color="auto"/>
                        <w:right w:val="none" w:sz="0" w:space="0" w:color="auto"/>
                      </w:divBdr>
                      <w:divsChild>
                        <w:div w:id="2047220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8609634">
      <w:bodyDiv w:val="1"/>
      <w:marLeft w:val="0"/>
      <w:marRight w:val="0"/>
      <w:marTop w:val="0"/>
      <w:marBottom w:val="0"/>
      <w:divBdr>
        <w:top w:val="none" w:sz="0" w:space="0" w:color="auto"/>
        <w:left w:val="none" w:sz="0" w:space="0" w:color="auto"/>
        <w:bottom w:val="none" w:sz="0" w:space="0" w:color="auto"/>
        <w:right w:val="none" w:sz="0" w:space="0" w:color="auto"/>
      </w:divBdr>
    </w:div>
    <w:div w:id="382556959">
      <w:bodyDiv w:val="1"/>
      <w:marLeft w:val="0"/>
      <w:marRight w:val="0"/>
      <w:marTop w:val="0"/>
      <w:marBottom w:val="0"/>
      <w:divBdr>
        <w:top w:val="none" w:sz="0" w:space="0" w:color="auto"/>
        <w:left w:val="none" w:sz="0" w:space="0" w:color="auto"/>
        <w:bottom w:val="none" w:sz="0" w:space="0" w:color="auto"/>
        <w:right w:val="none" w:sz="0" w:space="0" w:color="auto"/>
      </w:divBdr>
    </w:div>
    <w:div w:id="436680302">
      <w:bodyDiv w:val="1"/>
      <w:marLeft w:val="0"/>
      <w:marRight w:val="0"/>
      <w:marTop w:val="0"/>
      <w:marBottom w:val="0"/>
      <w:divBdr>
        <w:top w:val="none" w:sz="0" w:space="0" w:color="auto"/>
        <w:left w:val="none" w:sz="0" w:space="0" w:color="auto"/>
        <w:bottom w:val="none" w:sz="0" w:space="0" w:color="auto"/>
        <w:right w:val="none" w:sz="0" w:space="0" w:color="auto"/>
      </w:divBdr>
      <w:divsChild>
        <w:div w:id="300962739">
          <w:marLeft w:val="3"/>
          <w:marRight w:val="3"/>
          <w:marTop w:val="0"/>
          <w:marBottom w:val="0"/>
          <w:divBdr>
            <w:top w:val="single" w:sz="6" w:space="0" w:color="112449"/>
            <w:left w:val="single" w:sz="6" w:space="0" w:color="112449"/>
            <w:bottom w:val="single" w:sz="6" w:space="0" w:color="112449"/>
            <w:right w:val="single" w:sz="6" w:space="0" w:color="112449"/>
          </w:divBdr>
          <w:divsChild>
            <w:div w:id="1917934389">
              <w:marLeft w:val="3"/>
              <w:marRight w:val="3"/>
              <w:marTop w:val="0"/>
              <w:marBottom w:val="0"/>
              <w:divBdr>
                <w:top w:val="single" w:sz="6" w:space="0" w:color="112449"/>
                <w:left w:val="single" w:sz="6" w:space="0" w:color="112449"/>
                <w:bottom w:val="single" w:sz="6" w:space="0" w:color="112449"/>
                <w:right w:val="single" w:sz="6" w:space="0" w:color="112449"/>
              </w:divBdr>
              <w:divsChild>
                <w:div w:id="963854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3343782">
      <w:bodyDiv w:val="1"/>
      <w:marLeft w:val="0"/>
      <w:marRight w:val="0"/>
      <w:marTop w:val="0"/>
      <w:marBottom w:val="0"/>
      <w:divBdr>
        <w:top w:val="none" w:sz="0" w:space="0" w:color="auto"/>
        <w:left w:val="none" w:sz="0" w:space="0" w:color="auto"/>
        <w:bottom w:val="none" w:sz="0" w:space="0" w:color="auto"/>
        <w:right w:val="none" w:sz="0" w:space="0" w:color="auto"/>
      </w:divBdr>
      <w:divsChild>
        <w:div w:id="225259911">
          <w:marLeft w:val="3"/>
          <w:marRight w:val="3"/>
          <w:marTop w:val="0"/>
          <w:marBottom w:val="0"/>
          <w:divBdr>
            <w:top w:val="single" w:sz="6" w:space="0" w:color="112449"/>
            <w:left w:val="single" w:sz="6" w:space="0" w:color="112449"/>
            <w:bottom w:val="single" w:sz="6" w:space="0" w:color="112449"/>
            <w:right w:val="single" w:sz="6" w:space="0" w:color="112449"/>
          </w:divBdr>
          <w:divsChild>
            <w:div w:id="1881435234">
              <w:marLeft w:val="3"/>
              <w:marRight w:val="3"/>
              <w:marTop w:val="0"/>
              <w:marBottom w:val="0"/>
              <w:divBdr>
                <w:top w:val="single" w:sz="6" w:space="0" w:color="112449"/>
                <w:left w:val="single" w:sz="6" w:space="0" w:color="112449"/>
                <w:bottom w:val="single" w:sz="6" w:space="0" w:color="112449"/>
                <w:right w:val="single" w:sz="6" w:space="0" w:color="112449"/>
              </w:divBdr>
              <w:divsChild>
                <w:div w:id="1846824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5676344">
      <w:bodyDiv w:val="1"/>
      <w:marLeft w:val="0"/>
      <w:marRight w:val="0"/>
      <w:marTop w:val="0"/>
      <w:marBottom w:val="0"/>
      <w:divBdr>
        <w:top w:val="none" w:sz="0" w:space="0" w:color="auto"/>
        <w:left w:val="none" w:sz="0" w:space="0" w:color="auto"/>
        <w:bottom w:val="none" w:sz="0" w:space="0" w:color="auto"/>
        <w:right w:val="none" w:sz="0" w:space="0" w:color="auto"/>
      </w:divBdr>
    </w:div>
    <w:div w:id="596212512">
      <w:bodyDiv w:val="1"/>
      <w:marLeft w:val="0"/>
      <w:marRight w:val="0"/>
      <w:marTop w:val="0"/>
      <w:marBottom w:val="0"/>
      <w:divBdr>
        <w:top w:val="none" w:sz="0" w:space="0" w:color="auto"/>
        <w:left w:val="none" w:sz="0" w:space="0" w:color="auto"/>
        <w:bottom w:val="none" w:sz="0" w:space="0" w:color="auto"/>
        <w:right w:val="none" w:sz="0" w:space="0" w:color="auto"/>
      </w:divBdr>
      <w:divsChild>
        <w:div w:id="1396054129">
          <w:marLeft w:val="2550"/>
          <w:marRight w:val="0"/>
          <w:marTop w:val="0"/>
          <w:marBottom w:val="0"/>
          <w:divBdr>
            <w:top w:val="none" w:sz="0" w:space="0" w:color="auto"/>
            <w:left w:val="none" w:sz="0" w:space="0" w:color="auto"/>
            <w:bottom w:val="none" w:sz="0" w:space="0" w:color="auto"/>
            <w:right w:val="none" w:sz="0" w:space="0" w:color="auto"/>
          </w:divBdr>
        </w:div>
      </w:divsChild>
    </w:div>
    <w:div w:id="598874991">
      <w:bodyDiv w:val="1"/>
      <w:marLeft w:val="0"/>
      <w:marRight w:val="0"/>
      <w:marTop w:val="0"/>
      <w:marBottom w:val="0"/>
      <w:divBdr>
        <w:top w:val="none" w:sz="0" w:space="0" w:color="auto"/>
        <w:left w:val="none" w:sz="0" w:space="0" w:color="auto"/>
        <w:bottom w:val="none" w:sz="0" w:space="0" w:color="auto"/>
        <w:right w:val="none" w:sz="0" w:space="0" w:color="auto"/>
      </w:divBdr>
      <w:divsChild>
        <w:div w:id="1286160556">
          <w:marLeft w:val="0"/>
          <w:marRight w:val="0"/>
          <w:marTop w:val="0"/>
          <w:marBottom w:val="0"/>
          <w:divBdr>
            <w:top w:val="none" w:sz="0" w:space="0" w:color="auto"/>
            <w:left w:val="none" w:sz="0" w:space="0" w:color="auto"/>
            <w:bottom w:val="none" w:sz="0" w:space="0" w:color="auto"/>
            <w:right w:val="none" w:sz="0" w:space="0" w:color="auto"/>
          </w:divBdr>
          <w:divsChild>
            <w:div w:id="1865052667">
              <w:marLeft w:val="3225"/>
              <w:marRight w:val="0"/>
              <w:marTop w:val="0"/>
              <w:marBottom w:val="0"/>
              <w:divBdr>
                <w:top w:val="none" w:sz="0" w:space="0" w:color="auto"/>
                <w:left w:val="none" w:sz="0" w:space="0" w:color="auto"/>
                <w:bottom w:val="none" w:sz="0" w:space="0" w:color="auto"/>
                <w:right w:val="none" w:sz="0" w:space="0" w:color="auto"/>
              </w:divBdr>
              <w:divsChild>
                <w:div w:id="2103451469">
                  <w:marLeft w:val="90"/>
                  <w:marRight w:val="0"/>
                  <w:marTop w:val="0"/>
                  <w:marBottom w:val="0"/>
                  <w:divBdr>
                    <w:top w:val="single" w:sz="6" w:space="0" w:color="EEEEEE"/>
                    <w:left w:val="none" w:sz="0" w:space="0" w:color="auto"/>
                    <w:bottom w:val="none" w:sz="0" w:space="0" w:color="auto"/>
                    <w:right w:val="none" w:sz="0" w:space="0" w:color="auto"/>
                  </w:divBdr>
                  <w:divsChild>
                    <w:div w:id="1699507614">
                      <w:marLeft w:val="0"/>
                      <w:marRight w:val="0"/>
                      <w:marTop w:val="0"/>
                      <w:marBottom w:val="0"/>
                      <w:divBdr>
                        <w:top w:val="none" w:sz="0" w:space="0" w:color="auto"/>
                        <w:left w:val="none" w:sz="0" w:space="0" w:color="auto"/>
                        <w:bottom w:val="none" w:sz="0" w:space="0" w:color="auto"/>
                        <w:right w:val="none" w:sz="0" w:space="0" w:color="auto"/>
                      </w:divBdr>
                      <w:divsChild>
                        <w:div w:id="875430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0745995">
      <w:bodyDiv w:val="1"/>
      <w:marLeft w:val="0"/>
      <w:marRight w:val="0"/>
      <w:marTop w:val="0"/>
      <w:marBottom w:val="0"/>
      <w:divBdr>
        <w:top w:val="none" w:sz="0" w:space="0" w:color="auto"/>
        <w:left w:val="none" w:sz="0" w:space="0" w:color="auto"/>
        <w:bottom w:val="none" w:sz="0" w:space="0" w:color="auto"/>
        <w:right w:val="none" w:sz="0" w:space="0" w:color="auto"/>
      </w:divBdr>
      <w:divsChild>
        <w:div w:id="1820809106">
          <w:marLeft w:val="0"/>
          <w:marRight w:val="0"/>
          <w:marTop w:val="0"/>
          <w:marBottom w:val="0"/>
          <w:divBdr>
            <w:top w:val="none" w:sz="0" w:space="0" w:color="auto"/>
            <w:left w:val="none" w:sz="0" w:space="0" w:color="auto"/>
            <w:bottom w:val="none" w:sz="0" w:space="0" w:color="auto"/>
            <w:right w:val="none" w:sz="0" w:space="0" w:color="auto"/>
          </w:divBdr>
          <w:divsChild>
            <w:div w:id="1435322983">
              <w:marLeft w:val="3225"/>
              <w:marRight w:val="0"/>
              <w:marTop w:val="0"/>
              <w:marBottom w:val="0"/>
              <w:divBdr>
                <w:top w:val="none" w:sz="0" w:space="0" w:color="auto"/>
                <w:left w:val="none" w:sz="0" w:space="0" w:color="auto"/>
                <w:bottom w:val="none" w:sz="0" w:space="0" w:color="auto"/>
                <w:right w:val="none" w:sz="0" w:space="0" w:color="auto"/>
              </w:divBdr>
              <w:divsChild>
                <w:div w:id="1277519554">
                  <w:marLeft w:val="90"/>
                  <w:marRight w:val="0"/>
                  <w:marTop w:val="0"/>
                  <w:marBottom w:val="0"/>
                  <w:divBdr>
                    <w:top w:val="single" w:sz="6" w:space="0" w:color="EEEEEE"/>
                    <w:left w:val="none" w:sz="0" w:space="0" w:color="auto"/>
                    <w:bottom w:val="none" w:sz="0" w:space="0" w:color="auto"/>
                    <w:right w:val="none" w:sz="0" w:space="0" w:color="auto"/>
                  </w:divBdr>
                  <w:divsChild>
                    <w:div w:id="887642390">
                      <w:marLeft w:val="0"/>
                      <w:marRight w:val="0"/>
                      <w:marTop w:val="0"/>
                      <w:marBottom w:val="0"/>
                      <w:divBdr>
                        <w:top w:val="none" w:sz="0" w:space="0" w:color="auto"/>
                        <w:left w:val="none" w:sz="0" w:space="0" w:color="auto"/>
                        <w:bottom w:val="none" w:sz="0" w:space="0" w:color="auto"/>
                        <w:right w:val="none" w:sz="0" w:space="0" w:color="auto"/>
                      </w:divBdr>
                      <w:divsChild>
                        <w:div w:id="2131892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1402771">
      <w:bodyDiv w:val="1"/>
      <w:marLeft w:val="0"/>
      <w:marRight w:val="0"/>
      <w:marTop w:val="0"/>
      <w:marBottom w:val="0"/>
      <w:divBdr>
        <w:top w:val="none" w:sz="0" w:space="0" w:color="auto"/>
        <w:left w:val="none" w:sz="0" w:space="0" w:color="auto"/>
        <w:bottom w:val="none" w:sz="0" w:space="0" w:color="auto"/>
        <w:right w:val="none" w:sz="0" w:space="0" w:color="auto"/>
      </w:divBdr>
    </w:div>
    <w:div w:id="620041505">
      <w:bodyDiv w:val="1"/>
      <w:marLeft w:val="0"/>
      <w:marRight w:val="0"/>
      <w:marTop w:val="0"/>
      <w:marBottom w:val="0"/>
      <w:divBdr>
        <w:top w:val="none" w:sz="0" w:space="0" w:color="auto"/>
        <w:left w:val="none" w:sz="0" w:space="0" w:color="auto"/>
        <w:bottom w:val="none" w:sz="0" w:space="0" w:color="auto"/>
        <w:right w:val="none" w:sz="0" w:space="0" w:color="auto"/>
      </w:divBdr>
      <w:divsChild>
        <w:div w:id="390156728">
          <w:marLeft w:val="547"/>
          <w:marRight w:val="0"/>
          <w:marTop w:val="0"/>
          <w:marBottom w:val="0"/>
          <w:divBdr>
            <w:top w:val="none" w:sz="0" w:space="0" w:color="auto"/>
            <w:left w:val="none" w:sz="0" w:space="0" w:color="auto"/>
            <w:bottom w:val="none" w:sz="0" w:space="0" w:color="auto"/>
            <w:right w:val="none" w:sz="0" w:space="0" w:color="auto"/>
          </w:divBdr>
        </w:div>
      </w:divsChild>
    </w:div>
    <w:div w:id="656570319">
      <w:bodyDiv w:val="1"/>
      <w:marLeft w:val="0"/>
      <w:marRight w:val="0"/>
      <w:marTop w:val="0"/>
      <w:marBottom w:val="0"/>
      <w:divBdr>
        <w:top w:val="none" w:sz="0" w:space="0" w:color="auto"/>
        <w:left w:val="none" w:sz="0" w:space="0" w:color="auto"/>
        <w:bottom w:val="none" w:sz="0" w:space="0" w:color="auto"/>
        <w:right w:val="none" w:sz="0" w:space="0" w:color="auto"/>
      </w:divBdr>
      <w:divsChild>
        <w:div w:id="913053204">
          <w:marLeft w:val="0"/>
          <w:marRight w:val="0"/>
          <w:marTop w:val="0"/>
          <w:marBottom w:val="0"/>
          <w:divBdr>
            <w:top w:val="none" w:sz="0" w:space="0" w:color="auto"/>
            <w:left w:val="none" w:sz="0" w:space="0" w:color="auto"/>
            <w:bottom w:val="none" w:sz="0" w:space="0" w:color="auto"/>
            <w:right w:val="none" w:sz="0" w:space="0" w:color="auto"/>
          </w:divBdr>
        </w:div>
      </w:divsChild>
    </w:div>
    <w:div w:id="701828611">
      <w:bodyDiv w:val="1"/>
      <w:marLeft w:val="0"/>
      <w:marRight w:val="0"/>
      <w:marTop w:val="0"/>
      <w:marBottom w:val="0"/>
      <w:divBdr>
        <w:top w:val="none" w:sz="0" w:space="0" w:color="auto"/>
        <w:left w:val="none" w:sz="0" w:space="0" w:color="auto"/>
        <w:bottom w:val="none" w:sz="0" w:space="0" w:color="auto"/>
        <w:right w:val="none" w:sz="0" w:space="0" w:color="auto"/>
      </w:divBdr>
      <w:divsChild>
        <w:div w:id="654990066">
          <w:marLeft w:val="0"/>
          <w:marRight w:val="0"/>
          <w:marTop w:val="0"/>
          <w:marBottom w:val="0"/>
          <w:divBdr>
            <w:top w:val="none" w:sz="0" w:space="0" w:color="auto"/>
            <w:left w:val="none" w:sz="0" w:space="0" w:color="auto"/>
            <w:bottom w:val="none" w:sz="0" w:space="0" w:color="auto"/>
            <w:right w:val="none" w:sz="0" w:space="0" w:color="auto"/>
          </w:divBdr>
          <w:divsChild>
            <w:div w:id="1131749779">
              <w:marLeft w:val="3225"/>
              <w:marRight w:val="0"/>
              <w:marTop w:val="0"/>
              <w:marBottom w:val="0"/>
              <w:divBdr>
                <w:top w:val="none" w:sz="0" w:space="0" w:color="auto"/>
                <w:left w:val="none" w:sz="0" w:space="0" w:color="auto"/>
                <w:bottom w:val="none" w:sz="0" w:space="0" w:color="auto"/>
                <w:right w:val="none" w:sz="0" w:space="0" w:color="auto"/>
              </w:divBdr>
              <w:divsChild>
                <w:div w:id="1158769336">
                  <w:marLeft w:val="90"/>
                  <w:marRight w:val="0"/>
                  <w:marTop w:val="0"/>
                  <w:marBottom w:val="0"/>
                  <w:divBdr>
                    <w:top w:val="single" w:sz="6" w:space="0" w:color="EEEEEE"/>
                    <w:left w:val="none" w:sz="0" w:space="0" w:color="auto"/>
                    <w:bottom w:val="none" w:sz="0" w:space="0" w:color="auto"/>
                    <w:right w:val="none" w:sz="0" w:space="0" w:color="auto"/>
                  </w:divBdr>
                  <w:divsChild>
                    <w:div w:id="155342105">
                      <w:marLeft w:val="0"/>
                      <w:marRight w:val="0"/>
                      <w:marTop w:val="0"/>
                      <w:marBottom w:val="0"/>
                      <w:divBdr>
                        <w:top w:val="none" w:sz="0" w:space="0" w:color="auto"/>
                        <w:left w:val="none" w:sz="0" w:space="0" w:color="auto"/>
                        <w:bottom w:val="none" w:sz="0" w:space="0" w:color="auto"/>
                        <w:right w:val="none" w:sz="0" w:space="0" w:color="auto"/>
                      </w:divBdr>
                      <w:divsChild>
                        <w:div w:id="92827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4375393">
      <w:bodyDiv w:val="1"/>
      <w:marLeft w:val="0"/>
      <w:marRight w:val="0"/>
      <w:marTop w:val="0"/>
      <w:marBottom w:val="0"/>
      <w:divBdr>
        <w:top w:val="none" w:sz="0" w:space="0" w:color="auto"/>
        <w:left w:val="none" w:sz="0" w:space="0" w:color="auto"/>
        <w:bottom w:val="none" w:sz="0" w:space="0" w:color="auto"/>
        <w:right w:val="none" w:sz="0" w:space="0" w:color="auto"/>
      </w:divBdr>
      <w:divsChild>
        <w:div w:id="1806003656">
          <w:marLeft w:val="0"/>
          <w:marRight w:val="0"/>
          <w:marTop w:val="0"/>
          <w:marBottom w:val="0"/>
          <w:divBdr>
            <w:top w:val="none" w:sz="0" w:space="0" w:color="auto"/>
            <w:left w:val="none" w:sz="0" w:space="0" w:color="auto"/>
            <w:bottom w:val="none" w:sz="0" w:space="0" w:color="auto"/>
            <w:right w:val="none" w:sz="0" w:space="0" w:color="auto"/>
          </w:divBdr>
        </w:div>
        <w:div w:id="672418671">
          <w:marLeft w:val="0"/>
          <w:marRight w:val="0"/>
          <w:marTop w:val="0"/>
          <w:marBottom w:val="0"/>
          <w:divBdr>
            <w:top w:val="none" w:sz="0" w:space="0" w:color="auto"/>
            <w:left w:val="none" w:sz="0" w:space="0" w:color="auto"/>
            <w:bottom w:val="none" w:sz="0" w:space="0" w:color="auto"/>
            <w:right w:val="none" w:sz="0" w:space="0" w:color="auto"/>
          </w:divBdr>
        </w:div>
        <w:div w:id="304510411">
          <w:marLeft w:val="0"/>
          <w:marRight w:val="0"/>
          <w:marTop w:val="0"/>
          <w:marBottom w:val="0"/>
          <w:divBdr>
            <w:top w:val="none" w:sz="0" w:space="0" w:color="auto"/>
            <w:left w:val="none" w:sz="0" w:space="0" w:color="auto"/>
            <w:bottom w:val="none" w:sz="0" w:space="0" w:color="auto"/>
            <w:right w:val="none" w:sz="0" w:space="0" w:color="auto"/>
          </w:divBdr>
        </w:div>
        <w:div w:id="226108667">
          <w:marLeft w:val="0"/>
          <w:marRight w:val="0"/>
          <w:marTop w:val="0"/>
          <w:marBottom w:val="0"/>
          <w:divBdr>
            <w:top w:val="none" w:sz="0" w:space="0" w:color="auto"/>
            <w:left w:val="none" w:sz="0" w:space="0" w:color="auto"/>
            <w:bottom w:val="none" w:sz="0" w:space="0" w:color="auto"/>
            <w:right w:val="none" w:sz="0" w:space="0" w:color="auto"/>
          </w:divBdr>
        </w:div>
        <w:div w:id="1281107802">
          <w:marLeft w:val="0"/>
          <w:marRight w:val="0"/>
          <w:marTop w:val="0"/>
          <w:marBottom w:val="0"/>
          <w:divBdr>
            <w:top w:val="none" w:sz="0" w:space="0" w:color="auto"/>
            <w:left w:val="none" w:sz="0" w:space="0" w:color="auto"/>
            <w:bottom w:val="none" w:sz="0" w:space="0" w:color="auto"/>
            <w:right w:val="none" w:sz="0" w:space="0" w:color="auto"/>
          </w:divBdr>
        </w:div>
        <w:div w:id="963340858">
          <w:marLeft w:val="0"/>
          <w:marRight w:val="0"/>
          <w:marTop w:val="0"/>
          <w:marBottom w:val="0"/>
          <w:divBdr>
            <w:top w:val="none" w:sz="0" w:space="0" w:color="auto"/>
            <w:left w:val="none" w:sz="0" w:space="0" w:color="auto"/>
            <w:bottom w:val="none" w:sz="0" w:space="0" w:color="auto"/>
            <w:right w:val="none" w:sz="0" w:space="0" w:color="auto"/>
          </w:divBdr>
        </w:div>
        <w:div w:id="1559121847">
          <w:marLeft w:val="0"/>
          <w:marRight w:val="0"/>
          <w:marTop w:val="0"/>
          <w:marBottom w:val="0"/>
          <w:divBdr>
            <w:top w:val="none" w:sz="0" w:space="0" w:color="auto"/>
            <w:left w:val="none" w:sz="0" w:space="0" w:color="auto"/>
            <w:bottom w:val="none" w:sz="0" w:space="0" w:color="auto"/>
            <w:right w:val="none" w:sz="0" w:space="0" w:color="auto"/>
          </w:divBdr>
        </w:div>
      </w:divsChild>
    </w:div>
    <w:div w:id="745762340">
      <w:bodyDiv w:val="1"/>
      <w:marLeft w:val="0"/>
      <w:marRight w:val="0"/>
      <w:marTop w:val="0"/>
      <w:marBottom w:val="0"/>
      <w:divBdr>
        <w:top w:val="none" w:sz="0" w:space="0" w:color="auto"/>
        <w:left w:val="none" w:sz="0" w:space="0" w:color="auto"/>
        <w:bottom w:val="none" w:sz="0" w:space="0" w:color="auto"/>
        <w:right w:val="none" w:sz="0" w:space="0" w:color="auto"/>
      </w:divBdr>
      <w:divsChild>
        <w:div w:id="1720863520">
          <w:marLeft w:val="0"/>
          <w:marRight w:val="0"/>
          <w:marTop w:val="0"/>
          <w:marBottom w:val="0"/>
          <w:divBdr>
            <w:top w:val="none" w:sz="0" w:space="0" w:color="auto"/>
            <w:left w:val="none" w:sz="0" w:space="0" w:color="auto"/>
            <w:bottom w:val="none" w:sz="0" w:space="0" w:color="auto"/>
            <w:right w:val="none" w:sz="0" w:space="0" w:color="auto"/>
          </w:divBdr>
          <w:divsChild>
            <w:div w:id="1754081065">
              <w:marLeft w:val="3225"/>
              <w:marRight w:val="0"/>
              <w:marTop w:val="0"/>
              <w:marBottom w:val="0"/>
              <w:divBdr>
                <w:top w:val="none" w:sz="0" w:space="0" w:color="auto"/>
                <w:left w:val="none" w:sz="0" w:space="0" w:color="auto"/>
                <w:bottom w:val="none" w:sz="0" w:space="0" w:color="auto"/>
                <w:right w:val="none" w:sz="0" w:space="0" w:color="auto"/>
              </w:divBdr>
              <w:divsChild>
                <w:div w:id="1403288834">
                  <w:marLeft w:val="90"/>
                  <w:marRight w:val="0"/>
                  <w:marTop w:val="0"/>
                  <w:marBottom w:val="0"/>
                  <w:divBdr>
                    <w:top w:val="single" w:sz="6" w:space="0" w:color="EEEEEE"/>
                    <w:left w:val="none" w:sz="0" w:space="0" w:color="auto"/>
                    <w:bottom w:val="none" w:sz="0" w:space="0" w:color="auto"/>
                    <w:right w:val="none" w:sz="0" w:space="0" w:color="auto"/>
                  </w:divBdr>
                  <w:divsChild>
                    <w:div w:id="2086148854">
                      <w:marLeft w:val="0"/>
                      <w:marRight w:val="0"/>
                      <w:marTop w:val="0"/>
                      <w:marBottom w:val="0"/>
                      <w:divBdr>
                        <w:top w:val="none" w:sz="0" w:space="0" w:color="auto"/>
                        <w:left w:val="none" w:sz="0" w:space="0" w:color="auto"/>
                        <w:bottom w:val="none" w:sz="0" w:space="0" w:color="auto"/>
                        <w:right w:val="none" w:sz="0" w:space="0" w:color="auto"/>
                      </w:divBdr>
                      <w:divsChild>
                        <w:div w:id="324208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75947687">
      <w:bodyDiv w:val="1"/>
      <w:marLeft w:val="0"/>
      <w:marRight w:val="0"/>
      <w:marTop w:val="0"/>
      <w:marBottom w:val="0"/>
      <w:divBdr>
        <w:top w:val="none" w:sz="0" w:space="0" w:color="auto"/>
        <w:left w:val="none" w:sz="0" w:space="0" w:color="auto"/>
        <w:bottom w:val="none" w:sz="0" w:space="0" w:color="auto"/>
        <w:right w:val="none" w:sz="0" w:space="0" w:color="auto"/>
      </w:divBdr>
    </w:div>
    <w:div w:id="817528590">
      <w:bodyDiv w:val="1"/>
      <w:marLeft w:val="0"/>
      <w:marRight w:val="0"/>
      <w:marTop w:val="0"/>
      <w:marBottom w:val="0"/>
      <w:divBdr>
        <w:top w:val="none" w:sz="0" w:space="0" w:color="auto"/>
        <w:left w:val="none" w:sz="0" w:space="0" w:color="auto"/>
        <w:bottom w:val="none" w:sz="0" w:space="0" w:color="auto"/>
        <w:right w:val="none" w:sz="0" w:space="0" w:color="auto"/>
      </w:divBdr>
      <w:divsChild>
        <w:div w:id="836113204">
          <w:marLeft w:val="0"/>
          <w:marRight w:val="0"/>
          <w:marTop w:val="0"/>
          <w:marBottom w:val="0"/>
          <w:divBdr>
            <w:top w:val="none" w:sz="0" w:space="0" w:color="auto"/>
            <w:left w:val="none" w:sz="0" w:space="0" w:color="auto"/>
            <w:bottom w:val="none" w:sz="0" w:space="0" w:color="auto"/>
            <w:right w:val="none" w:sz="0" w:space="0" w:color="auto"/>
          </w:divBdr>
        </w:div>
      </w:divsChild>
    </w:div>
    <w:div w:id="983511013">
      <w:bodyDiv w:val="1"/>
      <w:marLeft w:val="0"/>
      <w:marRight w:val="0"/>
      <w:marTop w:val="0"/>
      <w:marBottom w:val="0"/>
      <w:divBdr>
        <w:top w:val="none" w:sz="0" w:space="0" w:color="auto"/>
        <w:left w:val="none" w:sz="0" w:space="0" w:color="auto"/>
        <w:bottom w:val="none" w:sz="0" w:space="0" w:color="auto"/>
        <w:right w:val="none" w:sz="0" w:space="0" w:color="auto"/>
      </w:divBdr>
    </w:div>
    <w:div w:id="986713493">
      <w:bodyDiv w:val="1"/>
      <w:marLeft w:val="0"/>
      <w:marRight w:val="0"/>
      <w:marTop w:val="0"/>
      <w:marBottom w:val="0"/>
      <w:divBdr>
        <w:top w:val="none" w:sz="0" w:space="0" w:color="auto"/>
        <w:left w:val="none" w:sz="0" w:space="0" w:color="auto"/>
        <w:bottom w:val="none" w:sz="0" w:space="0" w:color="auto"/>
        <w:right w:val="none" w:sz="0" w:space="0" w:color="auto"/>
      </w:divBdr>
      <w:divsChild>
        <w:div w:id="455099738">
          <w:marLeft w:val="2550"/>
          <w:marRight w:val="0"/>
          <w:marTop w:val="0"/>
          <w:marBottom w:val="0"/>
          <w:divBdr>
            <w:top w:val="none" w:sz="0" w:space="0" w:color="auto"/>
            <w:left w:val="none" w:sz="0" w:space="0" w:color="auto"/>
            <w:bottom w:val="none" w:sz="0" w:space="0" w:color="auto"/>
            <w:right w:val="none" w:sz="0" w:space="0" w:color="auto"/>
          </w:divBdr>
        </w:div>
      </w:divsChild>
    </w:div>
    <w:div w:id="991522435">
      <w:bodyDiv w:val="1"/>
      <w:marLeft w:val="0"/>
      <w:marRight w:val="0"/>
      <w:marTop w:val="0"/>
      <w:marBottom w:val="0"/>
      <w:divBdr>
        <w:top w:val="none" w:sz="0" w:space="0" w:color="auto"/>
        <w:left w:val="none" w:sz="0" w:space="0" w:color="auto"/>
        <w:bottom w:val="none" w:sz="0" w:space="0" w:color="auto"/>
        <w:right w:val="none" w:sz="0" w:space="0" w:color="auto"/>
      </w:divBdr>
      <w:divsChild>
        <w:div w:id="197744214">
          <w:marLeft w:val="2550"/>
          <w:marRight w:val="0"/>
          <w:marTop w:val="0"/>
          <w:marBottom w:val="0"/>
          <w:divBdr>
            <w:top w:val="none" w:sz="0" w:space="0" w:color="auto"/>
            <w:left w:val="none" w:sz="0" w:space="0" w:color="auto"/>
            <w:bottom w:val="none" w:sz="0" w:space="0" w:color="auto"/>
            <w:right w:val="none" w:sz="0" w:space="0" w:color="auto"/>
          </w:divBdr>
        </w:div>
      </w:divsChild>
    </w:div>
    <w:div w:id="1058626517">
      <w:bodyDiv w:val="1"/>
      <w:marLeft w:val="0"/>
      <w:marRight w:val="0"/>
      <w:marTop w:val="0"/>
      <w:marBottom w:val="0"/>
      <w:divBdr>
        <w:top w:val="none" w:sz="0" w:space="0" w:color="auto"/>
        <w:left w:val="none" w:sz="0" w:space="0" w:color="auto"/>
        <w:bottom w:val="none" w:sz="0" w:space="0" w:color="auto"/>
        <w:right w:val="none" w:sz="0" w:space="0" w:color="auto"/>
      </w:divBdr>
    </w:div>
    <w:div w:id="1151560768">
      <w:bodyDiv w:val="1"/>
      <w:marLeft w:val="0"/>
      <w:marRight w:val="0"/>
      <w:marTop w:val="0"/>
      <w:marBottom w:val="0"/>
      <w:divBdr>
        <w:top w:val="none" w:sz="0" w:space="0" w:color="auto"/>
        <w:left w:val="none" w:sz="0" w:space="0" w:color="auto"/>
        <w:bottom w:val="none" w:sz="0" w:space="0" w:color="auto"/>
        <w:right w:val="none" w:sz="0" w:space="0" w:color="auto"/>
      </w:divBdr>
    </w:div>
    <w:div w:id="1288198497">
      <w:bodyDiv w:val="1"/>
      <w:marLeft w:val="0"/>
      <w:marRight w:val="0"/>
      <w:marTop w:val="0"/>
      <w:marBottom w:val="0"/>
      <w:divBdr>
        <w:top w:val="none" w:sz="0" w:space="0" w:color="auto"/>
        <w:left w:val="none" w:sz="0" w:space="0" w:color="auto"/>
        <w:bottom w:val="none" w:sz="0" w:space="0" w:color="auto"/>
        <w:right w:val="none" w:sz="0" w:space="0" w:color="auto"/>
      </w:divBdr>
    </w:div>
    <w:div w:id="1453673228">
      <w:bodyDiv w:val="1"/>
      <w:marLeft w:val="0"/>
      <w:marRight w:val="0"/>
      <w:marTop w:val="0"/>
      <w:marBottom w:val="0"/>
      <w:divBdr>
        <w:top w:val="none" w:sz="0" w:space="0" w:color="auto"/>
        <w:left w:val="none" w:sz="0" w:space="0" w:color="auto"/>
        <w:bottom w:val="none" w:sz="0" w:space="0" w:color="auto"/>
        <w:right w:val="none" w:sz="0" w:space="0" w:color="auto"/>
      </w:divBdr>
    </w:div>
    <w:div w:id="1472164450">
      <w:bodyDiv w:val="1"/>
      <w:marLeft w:val="0"/>
      <w:marRight w:val="0"/>
      <w:marTop w:val="0"/>
      <w:marBottom w:val="0"/>
      <w:divBdr>
        <w:top w:val="none" w:sz="0" w:space="0" w:color="auto"/>
        <w:left w:val="none" w:sz="0" w:space="0" w:color="auto"/>
        <w:bottom w:val="none" w:sz="0" w:space="0" w:color="auto"/>
        <w:right w:val="none" w:sz="0" w:space="0" w:color="auto"/>
      </w:divBdr>
    </w:div>
    <w:div w:id="1491363566">
      <w:bodyDiv w:val="1"/>
      <w:marLeft w:val="0"/>
      <w:marRight w:val="0"/>
      <w:marTop w:val="0"/>
      <w:marBottom w:val="0"/>
      <w:divBdr>
        <w:top w:val="none" w:sz="0" w:space="0" w:color="auto"/>
        <w:left w:val="none" w:sz="0" w:space="0" w:color="auto"/>
        <w:bottom w:val="none" w:sz="0" w:space="0" w:color="auto"/>
        <w:right w:val="none" w:sz="0" w:space="0" w:color="auto"/>
      </w:divBdr>
      <w:divsChild>
        <w:div w:id="716589964">
          <w:marLeft w:val="0"/>
          <w:marRight w:val="0"/>
          <w:marTop w:val="0"/>
          <w:marBottom w:val="0"/>
          <w:divBdr>
            <w:top w:val="none" w:sz="0" w:space="0" w:color="auto"/>
            <w:left w:val="none" w:sz="0" w:space="0" w:color="auto"/>
            <w:bottom w:val="none" w:sz="0" w:space="0" w:color="auto"/>
            <w:right w:val="none" w:sz="0" w:space="0" w:color="auto"/>
          </w:divBdr>
          <w:divsChild>
            <w:div w:id="538779017">
              <w:marLeft w:val="3225"/>
              <w:marRight w:val="0"/>
              <w:marTop w:val="0"/>
              <w:marBottom w:val="0"/>
              <w:divBdr>
                <w:top w:val="none" w:sz="0" w:space="0" w:color="auto"/>
                <w:left w:val="none" w:sz="0" w:space="0" w:color="auto"/>
                <w:bottom w:val="none" w:sz="0" w:space="0" w:color="auto"/>
                <w:right w:val="none" w:sz="0" w:space="0" w:color="auto"/>
              </w:divBdr>
              <w:divsChild>
                <w:div w:id="882474210">
                  <w:marLeft w:val="90"/>
                  <w:marRight w:val="0"/>
                  <w:marTop w:val="0"/>
                  <w:marBottom w:val="0"/>
                  <w:divBdr>
                    <w:top w:val="single" w:sz="6" w:space="0" w:color="EEEEEE"/>
                    <w:left w:val="none" w:sz="0" w:space="0" w:color="auto"/>
                    <w:bottom w:val="none" w:sz="0" w:space="0" w:color="auto"/>
                    <w:right w:val="none" w:sz="0" w:space="0" w:color="auto"/>
                  </w:divBdr>
                  <w:divsChild>
                    <w:div w:id="93482243">
                      <w:marLeft w:val="0"/>
                      <w:marRight w:val="0"/>
                      <w:marTop w:val="0"/>
                      <w:marBottom w:val="0"/>
                      <w:divBdr>
                        <w:top w:val="none" w:sz="0" w:space="0" w:color="auto"/>
                        <w:left w:val="none" w:sz="0" w:space="0" w:color="auto"/>
                        <w:bottom w:val="none" w:sz="0" w:space="0" w:color="auto"/>
                        <w:right w:val="none" w:sz="0" w:space="0" w:color="auto"/>
                      </w:divBdr>
                      <w:divsChild>
                        <w:div w:id="1415132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05513593">
      <w:bodyDiv w:val="1"/>
      <w:marLeft w:val="0"/>
      <w:marRight w:val="0"/>
      <w:marTop w:val="0"/>
      <w:marBottom w:val="0"/>
      <w:divBdr>
        <w:top w:val="none" w:sz="0" w:space="0" w:color="auto"/>
        <w:left w:val="none" w:sz="0" w:space="0" w:color="auto"/>
        <w:bottom w:val="none" w:sz="0" w:space="0" w:color="auto"/>
        <w:right w:val="none" w:sz="0" w:space="0" w:color="auto"/>
      </w:divBdr>
    </w:div>
    <w:div w:id="1507986254">
      <w:bodyDiv w:val="1"/>
      <w:marLeft w:val="0"/>
      <w:marRight w:val="0"/>
      <w:marTop w:val="0"/>
      <w:marBottom w:val="0"/>
      <w:divBdr>
        <w:top w:val="none" w:sz="0" w:space="0" w:color="auto"/>
        <w:left w:val="none" w:sz="0" w:space="0" w:color="auto"/>
        <w:bottom w:val="none" w:sz="0" w:space="0" w:color="auto"/>
        <w:right w:val="none" w:sz="0" w:space="0" w:color="auto"/>
      </w:divBdr>
      <w:divsChild>
        <w:div w:id="2086798603">
          <w:marLeft w:val="0"/>
          <w:marRight w:val="0"/>
          <w:marTop w:val="0"/>
          <w:marBottom w:val="0"/>
          <w:divBdr>
            <w:top w:val="none" w:sz="0" w:space="0" w:color="auto"/>
            <w:left w:val="none" w:sz="0" w:space="0" w:color="auto"/>
            <w:bottom w:val="none" w:sz="0" w:space="0" w:color="auto"/>
            <w:right w:val="none" w:sz="0" w:space="0" w:color="auto"/>
          </w:divBdr>
        </w:div>
        <w:div w:id="2057966459">
          <w:marLeft w:val="720"/>
          <w:marRight w:val="0"/>
          <w:marTop w:val="0"/>
          <w:marBottom w:val="0"/>
          <w:divBdr>
            <w:top w:val="none" w:sz="0" w:space="0" w:color="auto"/>
            <w:left w:val="none" w:sz="0" w:space="0" w:color="auto"/>
            <w:bottom w:val="none" w:sz="0" w:space="0" w:color="auto"/>
            <w:right w:val="none" w:sz="0" w:space="0" w:color="auto"/>
          </w:divBdr>
        </w:div>
        <w:div w:id="1673146019">
          <w:marLeft w:val="720"/>
          <w:marRight w:val="0"/>
          <w:marTop w:val="0"/>
          <w:marBottom w:val="0"/>
          <w:divBdr>
            <w:top w:val="none" w:sz="0" w:space="0" w:color="auto"/>
            <w:left w:val="none" w:sz="0" w:space="0" w:color="auto"/>
            <w:bottom w:val="none" w:sz="0" w:space="0" w:color="auto"/>
            <w:right w:val="none" w:sz="0" w:space="0" w:color="auto"/>
          </w:divBdr>
        </w:div>
        <w:div w:id="679165608">
          <w:marLeft w:val="720"/>
          <w:marRight w:val="0"/>
          <w:marTop w:val="0"/>
          <w:marBottom w:val="0"/>
          <w:divBdr>
            <w:top w:val="none" w:sz="0" w:space="0" w:color="auto"/>
            <w:left w:val="none" w:sz="0" w:space="0" w:color="auto"/>
            <w:bottom w:val="none" w:sz="0" w:space="0" w:color="auto"/>
            <w:right w:val="none" w:sz="0" w:space="0" w:color="auto"/>
          </w:divBdr>
        </w:div>
        <w:div w:id="1450012304">
          <w:marLeft w:val="720"/>
          <w:marRight w:val="0"/>
          <w:marTop w:val="0"/>
          <w:marBottom w:val="0"/>
          <w:divBdr>
            <w:top w:val="none" w:sz="0" w:space="0" w:color="auto"/>
            <w:left w:val="none" w:sz="0" w:space="0" w:color="auto"/>
            <w:bottom w:val="none" w:sz="0" w:space="0" w:color="auto"/>
            <w:right w:val="none" w:sz="0" w:space="0" w:color="auto"/>
          </w:divBdr>
        </w:div>
        <w:div w:id="955870842">
          <w:marLeft w:val="0"/>
          <w:marRight w:val="0"/>
          <w:marTop w:val="0"/>
          <w:marBottom w:val="0"/>
          <w:divBdr>
            <w:top w:val="none" w:sz="0" w:space="0" w:color="auto"/>
            <w:left w:val="none" w:sz="0" w:space="0" w:color="auto"/>
            <w:bottom w:val="none" w:sz="0" w:space="0" w:color="auto"/>
            <w:right w:val="none" w:sz="0" w:space="0" w:color="auto"/>
          </w:divBdr>
        </w:div>
        <w:div w:id="1778257984">
          <w:marLeft w:val="0"/>
          <w:marRight w:val="0"/>
          <w:marTop w:val="0"/>
          <w:marBottom w:val="0"/>
          <w:divBdr>
            <w:top w:val="none" w:sz="0" w:space="0" w:color="auto"/>
            <w:left w:val="none" w:sz="0" w:space="0" w:color="auto"/>
            <w:bottom w:val="none" w:sz="0" w:space="0" w:color="auto"/>
            <w:right w:val="none" w:sz="0" w:space="0" w:color="auto"/>
          </w:divBdr>
        </w:div>
        <w:div w:id="39744189">
          <w:marLeft w:val="0"/>
          <w:marRight w:val="0"/>
          <w:marTop w:val="0"/>
          <w:marBottom w:val="0"/>
          <w:divBdr>
            <w:top w:val="none" w:sz="0" w:space="0" w:color="auto"/>
            <w:left w:val="none" w:sz="0" w:space="0" w:color="auto"/>
            <w:bottom w:val="none" w:sz="0" w:space="0" w:color="auto"/>
            <w:right w:val="none" w:sz="0" w:space="0" w:color="auto"/>
          </w:divBdr>
        </w:div>
      </w:divsChild>
    </w:div>
    <w:div w:id="1592278399">
      <w:bodyDiv w:val="1"/>
      <w:marLeft w:val="0"/>
      <w:marRight w:val="0"/>
      <w:marTop w:val="0"/>
      <w:marBottom w:val="0"/>
      <w:divBdr>
        <w:top w:val="none" w:sz="0" w:space="0" w:color="auto"/>
        <w:left w:val="none" w:sz="0" w:space="0" w:color="auto"/>
        <w:bottom w:val="none" w:sz="0" w:space="0" w:color="auto"/>
        <w:right w:val="none" w:sz="0" w:space="0" w:color="auto"/>
      </w:divBdr>
      <w:divsChild>
        <w:div w:id="1364745805">
          <w:marLeft w:val="0"/>
          <w:marRight w:val="0"/>
          <w:marTop w:val="0"/>
          <w:marBottom w:val="0"/>
          <w:divBdr>
            <w:top w:val="none" w:sz="0" w:space="0" w:color="auto"/>
            <w:left w:val="none" w:sz="0" w:space="0" w:color="auto"/>
            <w:bottom w:val="none" w:sz="0" w:space="0" w:color="auto"/>
            <w:right w:val="none" w:sz="0" w:space="0" w:color="auto"/>
          </w:divBdr>
          <w:divsChild>
            <w:div w:id="716929174">
              <w:marLeft w:val="3225"/>
              <w:marRight w:val="0"/>
              <w:marTop w:val="0"/>
              <w:marBottom w:val="0"/>
              <w:divBdr>
                <w:top w:val="none" w:sz="0" w:space="0" w:color="auto"/>
                <w:left w:val="none" w:sz="0" w:space="0" w:color="auto"/>
                <w:bottom w:val="none" w:sz="0" w:space="0" w:color="auto"/>
                <w:right w:val="none" w:sz="0" w:space="0" w:color="auto"/>
              </w:divBdr>
              <w:divsChild>
                <w:div w:id="542330573">
                  <w:marLeft w:val="90"/>
                  <w:marRight w:val="0"/>
                  <w:marTop w:val="0"/>
                  <w:marBottom w:val="0"/>
                  <w:divBdr>
                    <w:top w:val="single" w:sz="6" w:space="0" w:color="EEEEEE"/>
                    <w:left w:val="none" w:sz="0" w:space="0" w:color="auto"/>
                    <w:bottom w:val="none" w:sz="0" w:space="0" w:color="auto"/>
                    <w:right w:val="none" w:sz="0" w:space="0" w:color="auto"/>
                  </w:divBdr>
                  <w:divsChild>
                    <w:div w:id="1160541777">
                      <w:marLeft w:val="0"/>
                      <w:marRight w:val="0"/>
                      <w:marTop w:val="0"/>
                      <w:marBottom w:val="0"/>
                      <w:divBdr>
                        <w:top w:val="none" w:sz="0" w:space="0" w:color="auto"/>
                        <w:left w:val="none" w:sz="0" w:space="0" w:color="auto"/>
                        <w:bottom w:val="none" w:sz="0" w:space="0" w:color="auto"/>
                        <w:right w:val="none" w:sz="0" w:space="0" w:color="auto"/>
                      </w:divBdr>
                      <w:divsChild>
                        <w:div w:id="1464421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1844343">
      <w:bodyDiv w:val="1"/>
      <w:marLeft w:val="0"/>
      <w:marRight w:val="0"/>
      <w:marTop w:val="0"/>
      <w:marBottom w:val="0"/>
      <w:divBdr>
        <w:top w:val="none" w:sz="0" w:space="0" w:color="auto"/>
        <w:left w:val="none" w:sz="0" w:space="0" w:color="auto"/>
        <w:bottom w:val="none" w:sz="0" w:space="0" w:color="auto"/>
        <w:right w:val="none" w:sz="0" w:space="0" w:color="auto"/>
      </w:divBdr>
      <w:divsChild>
        <w:div w:id="2080251025">
          <w:marLeft w:val="0"/>
          <w:marRight w:val="0"/>
          <w:marTop w:val="0"/>
          <w:marBottom w:val="0"/>
          <w:divBdr>
            <w:top w:val="none" w:sz="0" w:space="0" w:color="auto"/>
            <w:left w:val="none" w:sz="0" w:space="0" w:color="auto"/>
            <w:bottom w:val="none" w:sz="0" w:space="0" w:color="auto"/>
            <w:right w:val="none" w:sz="0" w:space="0" w:color="auto"/>
          </w:divBdr>
          <w:divsChild>
            <w:div w:id="658776890">
              <w:marLeft w:val="3225"/>
              <w:marRight w:val="0"/>
              <w:marTop w:val="0"/>
              <w:marBottom w:val="0"/>
              <w:divBdr>
                <w:top w:val="none" w:sz="0" w:space="0" w:color="auto"/>
                <w:left w:val="none" w:sz="0" w:space="0" w:color="auto"/>
                <w:bottom w:val="none" w:sz="0" w:space="0" w:color="auto"/>
                <w:right w:val="none" w:sz="0" w:space="0" w:color="auto"/>
              </w:divBdr>
              <w:divsChild>
                <w:div w:id="1132021743">
                  <w:marLeft w:val="90"/>
                  <w:marRight w:val="0"/>
                  <w:marTop w:val="0"/>
                  <w:marBottom w:val="0"/>
                  <w:divBdr>
                    <w:top w:val="single" w:sz="6" w:space="0" w:color="EEEEEE"/>
                    <w:left w:val="none" w:sz="0" w:space="0" w:color="auto"/>
                    <w:bottom w:val="none" w:sz="0" w:space="0" w:color="auto"/>
                    <w:right w:val="none" w:sz="0" w:space="0" w:color="auto"/>
                  </w:divBdr>
                  <w:divsChild>
                    <w:div w:id="1620140517">
                      <w:marLeft w:val="0"/>
                      <w:marRight w:val="0"/>
                      <w:marTop w:val="0"/>
                      <w:marBottom w:val="0"/>
                      <w:divBdr>
                        <w:top w:val="none" w:sz="0" w:space="0" w:color="auto"/>
                        <w:left w:val="none" w:sz="0" w:space="0" w:color="auto"/>
                        <w:bottom w:val="none" w:sz="0" w:space="0" w:color="auto"/>
                        <w:right w:val="none" w:sz="0" w:space="0" w:color="auto"/>
                      </w:divBdr>
                      <w:divsChild>
                        <w:div w:id="643777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9321912">
      <w:bodyDiv w:val="1"/>
      <w:marLeft w:val="0"/>
      <w:marRight w:val="0"/>
      <w:marTop w:val="0"/>
      <w:marBottom w:val="0"/>
      <w:divBdr>
        <w:top w:val="none" w:sz="0" w:space="0" w:color="auto"/>
        <w:left w:val="none" w:sz="0" w:space="0" w:color="auto"/>
        <w:bottom w:val="none" w:sz="0" w:space="0" w:color="auto"/>
        <w:right w:val="none" w:sz="0" w:space="0" w:color="auto"/>
      </w:divBdr>
      <w:divsChild>
        <w:div w:id="1668903146">
          <w:marLeft w:val="0"/>
          <w:marRight w:val="0"/>
          <w:marTop w:val="0"/>
          <w:marBottom w:val="0"/>
          <w:divBdr>
            <w:top w:val="none" w:sz="0" w:space="0" w:color="auto"/>
            <w:left w:val="none" w:sz="0" w:space="0" w:color="auto"/>
            <w:bottom w:val="none" w:sz="0" w:space="0" w:color="auto"/>
            <w:right w:val="none" w:sz="0" w:space="0" w:color="auto"/>
          </w:divBdr>
          <w:divsChild>
            <w:div w:id="1427115705">
              <w:marLeft w:val="3225"/>
              <w:marRight w:val="0"/>
              <w:marTop w:val="0"/>
              <w:marBottom w:val="0"/>
              <w:divBdr>
                <w:top w:val="none" w:sz="0" w:space="0" w:color="auto"/>
                <w:left w:val="none" w:sz="0" w:space="0" w:color="auto"/>
                <w:bottom w:val="none" w:sz="0" w:space="0" w:color="auto"/>
                <w:right w:val="none" w:sz="0" w:space="0" w:color="auto"/>
              </w:divBdr>
              <w:divsChild>
                <w:div w:id="66656890">
                  <w:marLeft w:val="90"/>
                  <w:marRight w:val="0"/>
                  <w:marTop w:val="0"/>
                  <w:marBottom w:val="0"/>
                  <w:divBdr>
                    <w:top w:val="single" w:sz="6" w:space="0" w:color="EEEEEE"/>
                    <w:left w:val="none" w:sz="0" w:space="0" w:color="auto"/>
                    <w:bottom w:val="none" w:sz="0" w:space="0" w:color="auto"/>
                    <w:right w:val="none" w:sz="0" w:space="0" w:color="auto"/>
                  </w:divBdr>
                  <w:divsChild>
                    <w:div w:id="1588041">
                      <w:marLeft w:val="0"/>
                      <w:marRight w:val="0"/>
                      <w:marTop w:val="0"/>
                      <w:marBottom w:val="0"/>
                      <w:divBdr>
                        <w:top w:val="none" w:sz="0" w:space="0" w:color="auto"/>
                        <w:left w:val="none" w:sz="0" w:space="0" w:color="auto"/>
                        <w:bottom w:val="none" w:sz="0" w:space="0" w:color="auto"/>
                        <w:right w:val="none" w:sz="0" w:space="0" w:color="auto"/>
                      </w:divBdr>
                      <w:divsChild>
                        <w:div w:id="626855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7393979">
      <w:bodyDiv w:val="1"/>
      <w:marLeft w:val="0"/>
      <w:marRight w:val="0"/>
      <w:marTop w:val="0"/>
      <w:marBottom w:val="0"/>
      <w:divBdr>
        <w:top w:val="none" w:sz="0" w:space="0" w:color="auto"/>
        <w:left w:val="none" w:sz="0" w:space="0" w:color="auto"/>
        <w:bottom w:val="none" w:sz="0" w:space="0" w:color="auto"/>
        <w:right w:val="none" w:sz="0" w:space="0" w:color="auto"/>
      </w:divBdr>
    </w:div>
    <w:div w:id="2087728123">
      <w:bodyDiv w:val="1"/>
      <w:marLeft w:val="0"/>
      <w:marRight w:val="0"/>
      <w:marTop w:val="0"/>
      <w:marBottom w:val="0"/>
      <w:divBdr>
        <w:top w:val="none" w:sz="0" w:space="0" w:color="auto"/>
        <w:left w:val="none" w:sz="0" w:space="0" w:color="auto"/>
        <w:bottom w:val="none" w:sz="0" w:space="0" w:color="auto"/>
        <w:right w:val="none" w:sz="0" w:space="0" w:color="auto"/>
      </w:divBdr>
      <w:divsChild>
        <w:div w:id="948661736">
          <w:marLeft w:val="0"/>
          <w:marRight w:val="0"/>
          <w:marTop w:val="0"/>
          <w:marBottom w:val="0"/>
          <w:divBdr>
            <w:top w:val="none" w:sz="0" w:space="0" w:color="auto"/>
            <w:left w:val="none" w:sz="0" w:space="0" w:color="auto"/>
            <w:bottom w:val="none" w:sz="0" w:space="0" w:color="auto"/>
            <w:right w:val="none" w:sz="0" w:space="0" w:color="auto"/>
          </w:divBdr>
          <w:divsChild>
            <w:div w:id="138036537">
              <w:marLeft w:val="3225"/>
              <w:marRight w:val="0"/>
              <w:marTop w:val="0"/>
              <w:marBottom w:val="0"/>
              <w:divBdr>
                <w:top w:val="none" w:sz="0" w:space="0" w:color="auto"/>
                <w:left w:val="none" w:sz="0" w:space="0" w:color="auto"/>
                <w:bottom w:val="none" w:sz="0" w:space="0" w:color="auto"/>
                <w:right w:val="none" w:sz="0" w:space="0" w:color="auto"/>
              </w:divBdr>
              <w:divsChild>
                <w:div w:id="8412250">
                  <w:marLeft w:val="90"/>
                  <w:marRight w:val="0"/>
                  <w:marTop w:val="0"/>
                  <w:marBottom w:val="0"/>
                  <w:divBdr>
                    <w:top w:val="single" w:sz="6" w:space="0" w:color="EEEEEE"/>
                    <w:left w:val="none" w:sz="0" w:space="0" w:color="auto"/>
                    <w:bottom w:val="none" w:sz="0" w:space="0" w:color="auto"/>
                    <w:right w:val="none" w:sz="0" w:space="0" w:color="auto"/>
                  </w:divBdr>
                  <w:divsChild>
                    <w:div w:id="805391152">
                      <w:marLeft w:val="0"/>
                      <w:marRight w:val="0"/>
                      <w:marTop w:val="0"/>
                      <w:marBottom w:val="0"/>
                      <w:divBdr>
                        <w:top w:val="none" w:sz="0" w:space="0" w:color="auto"/>
                        <w:left w:val="none" w:sz="0" w:space="0" w:color="auto"/>
                        <w:bottom w:val="none" w:sz="0" w:space="0" w:color="auto"/>
                        <w:right w:val="none" w:sz="0" w:space="0" w:color="auto"/>
                      </w:divBdr>
                      <w:divsChild>
                        <w:div w:id="1879277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46772764">
      <w:bodyDiv w:val="1"/>
      <w:marLeft w:val="0"/>
      <w:marRight w:val="0"/>
      <w:marTop w:val="0"/>
      <w:marBottom w:val="0"/>
      <w:divBdr>
        <w:top w:val="none" w:sz="0" w:space="0" w:color="auto"/>
        <w:left w:val="none" w:sz="0" w:space="0" w:color="auto"/>
        <w:bottom w:val="none" w:sz="0" w:space="0" w:color="auto"/>
        <w:right w:val="none" w:sz="0" w:space="0" w:color="auto"/>
      </w:divBdr>
      <w:divsChild>
        <w:div w:id="1571034544">
          <w:marLeft w:val="0"/>
          <w:marRight w:val="0"/>
          <w:marTop w:val="0"/>
          <w:marBottom w:val="0"/>
          <w:divBdr>
            <w:top w:val="none" w:sz="0" w:space="0" w:color="auto"/>
            <w:left w:val="none" w:sz="0" w:space="0" w:color="auto"/>
            <w:bottom w:val="none" w:sz="0" w:space="0" w:color="auto"/>
            <w:right w:val="none" w:sz="0" w:space="0" w:color="auto"/>
          </w:divBdr>
          <w:divsChild>
            <w:div w:id="1470366295">
              <w:marLeft w:val="3225"/>
              <w:marRight w:val="0"/>
              <w:marTop w:val="0"/>
              <w:marBottom w:val="0"/>
              <w:divBdr>
                <w:top w:val="none" w:sz="0" w:space="0" w:color="auto"/>
                <w:left w:val="none" w:sz="0" w:space="0" w:color="auto"/>
                <w:bottom w:val="none" w:sz="0" w:space="0" w:color="auto"/>
                <w:right w:val="none" w:sz="0" w:space="0" w:color="auto"/>
              </w:divBdr>
              <w:divsChild>
                <w:div w:id="1277567581">
                  <w:marLeft w:val="90"/>
                  <w:marRight w:val="0"/>
                  <w:marTop w:val="0"/>
                  <w:marBottom w:val="0"/>
                  <w:divBdr>
                    <w:top w:val="single" w:sz="6" w:space="0" w:color="EEEEEE"/>
                    <w:left w:val="none" w:sz="0" w:space="0" w:color="auto"/>
                    <w:bottom w:val="none" w:sz="0" w:space="0" w:color="auto"/>
                    <w:right w:val="none" w:sz="0" w:space="0" w:color="auto"/>
                  </w:divBdr>
                  <w:divsChild>
                    <w:div w:id="2129203767">
                      <w:marLeft w:val="0"/>
                      <w:marRight w:val="0"/>
                      <w:marTop w:val="0"/>
                      <w:marBottom w:val="0"/>
                      <w:divBdr>
                        <w:top w:val="none" w:sz="0" w:space="0" w:color="auto"/>
                        <w:left w:val="none" w:sz="0" w:space="0" w:color="auto"/>
                        <w:bottom w:val="none" w:sz="0" w:space="0" w:color="auto"/>
                        <w:right w:val="none" w:sz="0" w:space="0" w:color="auto"/>
                      </w:divBdr>
                      <w:divsChild>
                        <w:div w:id="2780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ana.gomez@milieu.be" TargetMode="External"/><Relationship Id="rId18" Type="http://schemas.openxmlformats.org/officeDocument/2006/relationships/diagramColors" Target="diagrams/colors1.xml"/><Relationship Id="rId26" Type="http://schemas.openxmlformats.org/officeDocument/2006/relationships/footer" Target="footer4.xml"/><Relationship Id="rId3" Type="http://schemas.openxmlformats.org/officeDocument/2006/relationships/styles" Target="styles.xml"/><Relationship Id="rId21" Type="http://schemas.openxmlformats.org/officeDocument/2006/relationships/hyperlink" Target="https://www.epolicija.lt/rezervacija/index.php?id=18&amp;lang=EN" TargetMode="External"/><Relationship Id="rId7" Type="http://schemas.openxmlformats.org/officeDocument/2006/relationships/footnotes" Target="footnotes.xml"/><Relationship Id="rId12" Type="http://schemas.openxmlformats.org/officeDocument/2006/relationships/hyperlink" Target="mailto:emma.psaila@milieu.be" TargetMode="External"/><Relationship Id="rId17" Type="http://schemas.openxmlformats.org/officeDocument/2006/relationships/diagramQuickStyle" Target="diagrams/quickStyle1.xml"/><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diagramLayout" Target="diagrams/layout1.xml"/><Relationship Id="rId20" Type="http://schemas.openxmlformats.org/officeDocument/2006/relationships/image" Target="media/image3.png"/><Relationship Id="rId29"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diagramData" Target="diagrams/data1.xml"/><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image" Target="media/image1.jpeg"/><Relationship Id="rId19" Type="http://schemas.microsoft.com/office/2007/relationships/diagramDrawing" Target="diagrams/drawing1.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hyperlink" Target="http://www.milieu.be" TargetMode="External"/><Relationship Id="rId22" Type="http://schemas.openxmlformats.org/officeDocument/2006/relationships/hyperlink" Target="http://www.migracija.lt" TargetMode="External"/><Relationship Id="rId27" Type="http://schemas.openxmlformats.org/officeDocument/2006/relationships/fontTable" Target="fontTable.xml"/></Relationships>
</file>

<file path=word/_rels/footnotes.xml.rels><?xml version="1.0" encoding="UTF-8" standalone="yes"?>
<Relationships xmlns="http://schemas.openxmlformats.org/package/2006/relationships"><Relationship Id="rId8" Type="http://schemas.openxmlformats.org/officeDocument/2006/relationships/hyperlink" Target="https://www.e-tar.lt/portal/en/legalAct/TAR.E3A145C8DD49/eJlUgjbMYg" TargetMode="External"/><Relationship Id="rId13" Type="http://schemas.openxmlformats.org/officeDocument/2006/relationships/hyperlink" Target="https://www.e-tar.lt/portal/en/legalAct/TAR.AC68574D989E/YAEOHqXizC" TargetMode="External"/><Relationship Id="rId18" Type="http://schemas.openxmlformats.org/officeDocument/2006/relationships/hyperlink" Target="https://www.e-tar.lt/portal/en/legalAct/TAR.9A3AD08EA5D0/TAIS_458774" TargetMode="External"/><Relationship Id="rId3" Type="http://schemas.openxmlformats.org/officeDocument/2006/relationships/hyperlink" Target="https://investlithuania.com/investor-guide/start-your-business/" TargetMode="External"/><Relationship Id="rId21" Type="http://schemas.openxmlformats.org/officeDocument/2006/relationships/hyperlink" Target="https://www.lb.lt/uploads/documents/files/TUI2016_IVketv_apzvalgaA.pdf" TargetMode="External"/><Relationship Id="rId7" Type="http://schemas.openxmlformats.org/officeDocument/2006/relationships/hyperlink" Target="https://eur-lex.europa.eu/legal-content/EN/TXT/?uri=celex%3A32016R0399" TargetMode="External"/><Relationship Id="rId12" Type="http://schemas.openxmlformats.org/officeDocument/2006/relationships/hyperlink" Target="https://www.e-tar.lt/portal/lt/legalAct/d6219e10af3e11e7afdadfc0e4460de4" TargetMode="External"/><Relationship Id="rId17" Type="http://schemas.openxmlformats.org/officeDocument/2006/relationships/hyperlink" Target="https://www.e-tar.lt/portal/en/legalAct/TAR.94F6B680E8B8/jylPSqHbsV" TargetMode="External"/><Relationship Id="rId2" Type="http://schemas.openxmlformats.org/officeDocument/2006/relationships/hyperlink" Target="https://investlithuania.com/investor-guide/start-your-business/" TargetMode="External"/><Relationship Id="rId16" Type="http://schemas.openxmlformats.org/officeDocument/2006/relationships/hyperlink" Target="https://www.e-tar.lt/portal/en/legalAct/TAR.AC68574D989E/YAEOHqXizC" TargetMode="External"/><Relationship Id="rId20" Type="http://schemas.openxmlformats.org/officeDocument/2006/relationships/hyperlink" Target="https://e-seimas.lrs.lt/portal/legalAct/lt/TAD/TAIS.387811/PtyylkFObc" TargetMode="External"/><Relationship Id="rId1" Type="http://schemas.openxmlformats.org/officeDocument/2006/relationships/hyperlink" Target="https://www.e-tar.lt/portal/lt/legalAct/TAR.42837E5A79DD/uCWCKWxVbe" TargetMode="External"/><Relationship Id="rId6" Type="http://schemas.openxmlformats.org/officeDocument/2006/relationships/hyperlink" Target="https://www.e-tar.lt/portal/en/legalAct/TAR.CD24C5B1E90F/ZNzAHuZSkR" TargetMode="External"/><Relationship Id="rId11" Type="http://schemas.openxmlformats.org/officeDocument/2006/relationships/hyperlink" Target="https://e-seimas.lrs.lt/portal/legalAct/lt/TAD/TAIS.291849" TargetMode="External"/><Relationship Id="rId5" Type="http://schemas.openxmlformats.org/officeDocument/2006/relationships/hyperlink" Target="https://www.e-tar.lt/portal/en/legalAct/TAR.7CB7682A04DB/mXscBnPkeU" TargetMode="External"/><Relationship Id="rId15" Type="http://schemas.openxmlformats.org/officeDocument/2006/relationships/hyperlink" Target="https://www.e-tar.lt/portal/en/legalAct/TAR.AC68574D989E/YAEOHqXizC" TargetMode="External"/><Relationship Id="rId10" Type="http://schemas.openxmlformats.org/officeDocument/2006/relationships/hyperlink" Target="https://www.e-tar.lt/portal/en/legalAct/TAR.E3A145C8DD49/eJlUgjbMYg" TargetMode="External"/><Relationship Id="rId19" Type="http://schemas.openxmlformats.org/officeDocument/2006/relationships/hyperlink" Target="https://www.e-tar.lt/portal/en/legalAct/TAR.9A3AD08EA5D0/TAIS_458774" TargetMode="External"/><Relationship Id="rId4" Type="http://schemas.openxmlformats.org/officeDocument/2006/relationships/hyperlink" Target="https://www.e-tar.lt/portal/en/legalAct/62104290083111e4b836947d492f2f50" TargetMode="External"/><Relationship Id="rId9" Type="http://schemas.openxmlformats.org/officeDocument/2006/relationships/hyperlink" Target="https://www.e-tar.lt/portal/lt/legalAct/d6219e10af3e11e7afdadfc0e4460de4" TargetMode="External"/><Relationship Id="rId14" Type="http://schemas.openxmlformats.org/officeDocument/2006/relationships/hyperlink" Target="https://www.e-tar.lt/portal/en/legalAct/b6327e007e7311e6b969d7ae07280e89"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9CF06A8-BAEB-42A4-AAB6-2B4323232DF8}" type="doc">
      <dgm:prSet loTypeId="urn:microsoft.com/office/officeart/2005/8/layout/hierarchy3" loCatId="list" qsTypeId="urn:microsoft.com/office/officeart/2005/8/quickstyle/simple1" qsCatId="simple" csTypeId="urn:microsoft.com/office/officeart/2005/8/colors/accent1_2" csCatId="accent1" phldr="1"/>
      <dgm:spPr/>
      <dgm:t>
        <a:bodyPr/>
        <a:lstStyle/>
        <a:p>
          <a:endParaRPr lang="en-US"/>
        </a:p>
      </dgm:t>
    </dgm:pt>
    <dgm:pt modelId="{57D6205E-71A1-448E-9A33-1D1D373EB17F}">
      <dgm:prSet phldrT="[Text]" custT="1"/>
      <dgm:spPr/>
      <dgm:t>
        <a:bodyPr/>
        <a:lstStyle/>
        <a:p>
          <a:pPr algn="l"/>
          <a:r>
            <a:rPr lang="en-US" sz="1000">
              <a:latin typeface="Arial" panose="020B0604020202020204" pitchFamily="34" charset="0"/>
              <a:cs typeface="Arial" panose="020B0604020202020204" pitchFamily="34" charset="0"/>
            </a:rPr>
            <a:t>- Migration Department</a:t>
          </a:r>
        </a:p>
        <a:p>
          <a:pPr algn="l"/>
          <a:r>
            <a:rPr lang="en-US" sz="1000">
              <a:latin typeface="Arial" panose="020B0604020202020204" pitchFamily="34" charset="0"/>
              <a:cs typeface="Arial" panose="020B0604020202020204" pitchFamily="34" charset="0"/>
            </a:rPr>
            <a:t>- Police Department</a:t>
          </a:r>
        </a:p>
        <a:p>
          <a:pPr algn="l"/>
          <a:r>
            <a:rPr lang="en-US" sz="1000">
              <a:latin typeface="Arial" panose="020B0604020202020204" pitchFamily="34" charset="0"/>
              <a:cs typeface="Arial" panose="020B0604020202020204" pitchFamily="34" charset="0"/>
            </a:rPr>
            <a:t>- Migration offices</a:t>
          </a:r>
        </a:p>
        <a:p>
          <a:pPr algn="l"/>
          <a:r>
            <a:rPr lang="en-US" sz="1000">
              <a:latin typeface="Arial" panose="020B0604020202020204" pitchFamily="34" charset="0"/>
              <a:cs typeface="Arial" panose="020B0604020202020204" pitchFamily="34" charset="0"/>
            </a:rPr>
            <a:t>- Diplomatic missions and consular posts </a:t>
          </a:r>
        </a:p>
      </dgm:t>
    </dgm:pt>
    <dgm:pt modelId="{82656A24-35F4-4EB8-947F-7C24405A2DBD}" type="parTrans" cxnId="{8D6EE634-9C77-442E-AD76-94CDCE02112F}">
      <dgm:prSet/>
      <dgm:spPr/>
      <dgm:t>
        <a:bodyPr/>
        <a:lstStyle/>
        <a:p>
          <a:endParaRPr lang="en-US"/>
        </a:p>
      </dgm:t>
    </dgm:pt>
    <dgm:pt modelId="{EB2C6331-31A8-4086-8FD4-19C1F4399D29}" type="sibTrans" cxnId="{8D6EE634-9C77-442E-AD76-94CDCE02112F}">
      <dgm:prSet/>
      <dgm:spPr/>
      <dgm:t>
        <a:bodyPr/>
        <a:lstStyle/>
        <a:p>
          <a:endParaRPr lang="en-US"/>
        </a:p>
      </dgm:t>
    </dgm:pt>
    <dgm:pt modelId="{C7A0B96F-6A62-4644-AE38-B5319C9748E6}">
      <dgm:prSet phldrT="[Text]" custT="1"/>
      <dgm:spPr/>
      <dgm:t>
        <a:bodyPr/>
        <a:lstStyle/>
        <a:p>
          <a:r>
            <a:rPr lang="en-US" sz="1000">
              <a:latin typeface="Arial" panose="020B0604020202020204" pitchFamily="34" charset="0"/>
              <a:cs typeface="Arial" panose="020B0604020202020204" pitchFamily="34" charset="0"/>
            </a:rPr>
            <a:t>Residence permits</a:t>
          </a:r>
        </a:p>
        <a:p>
          <a:r>
            <a:rPr lang="en-US" sz="1000">
              <a:latin typeface="Arial" panose="020B0604020202020204" pitchFamily="34" charset="0"/>
              <a:cs typeface="Arial" panose="020B0604020202020204" pitchFamily="34" charset="0"/>
            </a:rPr>
            <a:t>(</a:t>
          </a:r>
          <a:r>
            <a:rPr lang="en-US" sz="1000" b="1">
              <a:latin typeface="Arial" panose="020B0604020202020204" pitchFamily="34" charset="0"/>
              <a:cs typeface="Arial" panose="020B0604020202020204" pitchFamily="34" charset="0"/>
            </a:rPr>
            <a:t>immigration</a:t>
          </a:r>
          <a:r>
            <a:rPr lang="en-US" sz="1000">
              <a:latin typeface="Arial" panose="020B0604020202020204" pitchFamily="34" charset="0"/>
              <a:cs typeface="Arial" panose="020B0604020202020204" pitchFamily="34" charset="0"/>
            </a:rPr>
            <a:t>)</a:t>
          </a:r>
        </a:p>
      </dgm:t>
    </dgm:pt>
    <dgm:pt modelId="{671DEC6E-2199-4AE4-B71F-58EA2C3A3AFE}" type="parTrans" cxnId="{288118C2-CCFD-4FF3-9C55-F8FA66C28472}">
      <dgm:prSet/>
      <dgm:spPr/>
      <dgm:t>
        <a:bodyPr/>
        <a:lstStyle/>
        <a:p>
          <a:endParaRPr lang="en-US"/>
        </a:p>
      </dgm:t>
    </dgm:pt>
    <dgm:pt modelId="{3F7C5CF6-F498-4966-ADC7-8EEBD041B48C}" type="sibTrans" cxnId="{288118C2-CCFD-4FF3-9C55-F8FA66C28472}">
      <dgm:prSet/>
      <dgm:spPr/>
      <dgm:t>
        <a:bodyPr/>
        <a:lstStyle/>
        <a:p>
          <a:endParaRPr lang="en-US"/>
        </a:p>
      </dgm:t>
    </dgm:pt>
    <dgm:pt modelId="{F83A4D54-38DF-49DF-BAB0-5B5BBEA5B9A5}">
      <dgm:prSet phldrT="[Text]"/>
      <dgm:spPr/>
      <dgm:t>
        <a:bodyPr/>
        <a:lstStyle/>
        <a:p>
          <a:pPr algn="l"/>
          <a:r>
            <a:rPr lang="en-US">
              <a:latin typeface="Arial" panose="020B0604020202020204" pitchFamily="34" charset="0"/>
              <a:cs typeface="Arial" panose="020B0604020202020204" pitchFamily="34" charset="0"/>
            </a:rPr>
            <a:t>- Migration Department</a:t>
          </a:r>
        </a:p>
        <a:p>
          <a:pPr algn="l"/>
          <a:r>
            <a:rPr lang="en-US">
              <a:latin typeface="Arial" panose="020B0604020202020204" pitchFamily="34" charset="0"/>
              <a:cs typeface="Arial" panose="020B0604020202020204" pitchFamily="34" charset="0"/>
            </a:rPr>
            <a:t>- State Border Guard Service</a:t>
          </a:r>
        </a:p>
        <a:p>
          <a:pPr algn="l"/>
          <a:r>
            <a:rPr lang="en-US">
              <a:latin typeface="Arial" panose="020B0604020202020204" pitchFamily="34" charset="0"/>
              <a:cs typeface="Arial" panose="020B0604020202020204" pitchFamily="34" charset="0"/>
            </a:rPr>
            <a:t>- Foreigners’ Registration Centre</a:t>
          </a:r>
        </a:p>
        <a:p>
          <a:pPr algn="l"/>
          <a:r>
            <a:rPr lang="en-US">
              <a:latin typeface="Arial" panose="020B0604020202020204" pitchFamily="34" charset="0"/>
              <a:cs typeface="Arial" panose="020B0604020202020204" pitchFamily="34" charset="0"/>
            </a:rPr>
            <a:t>- Police Department</a:t>
          </a:r>
        </a:p>
        <a:p>
          <a:pPr algn="l"/>
          <a:r>
            <a:rPr lang="en-US">
              <a:latin typeface="Arial" panose="020B0604020202020204" pitchFamily="34" charset="0"/>
              <a:cs typeface="Arial" panose="020B0604020202020204" pitchFamily="34" charset="0"/>
            </a:rPr>
            <a:t>- Migration offices</a:t>
          </a:r>
        </a:p>
      </dgm:t>
    </dgm:pt>
    <dgm:pt modelId="{E58A9FD0-A706-4EC3-9029-8058630A6F13}" type="parTrans" cxnId="{7AE4D680-4A8D-4B52-A87B-181FE5DAF862}">
      <dgm:prSet/>
      <dgm:spPr/>
      <dgm:t>
        <a:bodyPr/>
        <a:lstStyle/>
        <a:p>
          <a:endParaRPr lang="en-US"/>
        </a:p>
      </dgm:t>
    </dgm:pt>
    <dgm:pt modelId="{43205BD8-A56F-4C7F-96D6-145CB7E72791}" type="sibTrans" cxnId="{7AE4D680-4A8D-4B52-A87B-181FE5DAF862}">
      <dgm:prSet/>
      <dgm:spPr/>
      <dgm:t>
        <a:bodyPr/>
        <a:lstStyle/>
        <a:p>
          <a:endParaRPr lang="en-US"/>
        </a:p>
      </dgm:t>
    </dgm:pt>
    <dgm:pt modelId="{1A8DA00A-0EC0-432A-9D28-A968BC8FE476}">
      <dgm:prSet phldrT="[Text]" custT="1"/>
      <dgm:spPr/>
      <dgm:t>
        <a:bodyPr/>
        <a:lstStyle/>
        <a:p>
          <a:r>
            <a:rPr lang="en-US" sz="1000">
              <a:latin typeface="Arial" panose="020B0604020202020204" pitchFamily="34" charset="0"/>
              <a:cs typeface="Arial" panose="020B0604020202020204" pitchFamily="34" charset="0"/>
            </a:rPr>
            <a:t>Immigration control</a:t>
          </a:r>
        </a:p>
        <a:p>
          <a:r>
            <a:rPr lang="en-US" sz="1000">
              <a:latin typeface="Arial" panose="020B0604020202020204" pitchFamily="34" charset="0"/>
              <a:cs typeface="Arial" panose="020B0604020202020204" pitchFamily="34" charset="0"/>
            </a:rPr>
            <a:t>(</a:t>
          </a:r>
          <a:r>
            <a:rPr lang="en-US" sz="1000" b="1">
              <a:latin typeface="Arial" panose="020B0604020202020204" pitchFamily="34" charset="0"/>
              <a:cs typeface="Arial" panose="020B0604020202020204" pitchFamily="34" charset="0"/>
            </a:rPr>
            <a:t>fight against illegal migration</a:t>
          </a:r>
          <a:r>
            <a:rPr lang="en-US" sz="1000">
              <a:latin typeface="Arial" panose="020B0604020202020204" pitchFamily="34" charset="0"/>
              <a:cs typeface="Arial" panose="020B0604020202020204" pitchFamily="34" charset="0"/>
            </a:rPr>
            <a:t>)</a:t>
          </a:r>
        </a:p>
      </dgm:t>
    </dgm:pt>
    <dgm:pt modelId="{1B328072-7171-4EB7-BE9C-E035F5000343}" type="parTrans" cxnId="{5282A91B-92E6-4D7D-9464-CE9FC231898A}">
      <dgm:prSet/>
      <dgm:spPr/>
      <dgm:t>
        <a:bodyPr/>
        <a:lstStyle/>
        <a:p>
          <a:endParaRPr lang="en-US"/>
        </a:p>
      </dgm:t>
    </dgm:pt>
    <dgm:pt modelId="{93C40072-8382-4DA4-AC1E-0DE6E79B2A0B}" type="sibTrans" cxnId="{5282A91B-92E6-4D7D-9464-CE9FC231898A}">
      <dgm:prSet/>
      <dgm:spPr/>
      <dgm:t>
        <a:bodyPr/>
        <a:lstStyle/>
        <a:p>
          <a:endParaRPr lang="en-US"/>
        </a:p>
      </dgm:t>
    </dgm:pt>
    <dgm:pt modelId="{648D75CD-DA10-41B5-96E1-F87C6AF6B90B}">
      <dgm:prSet phldrT="[Text]"/>
      <dgm:spPr/>
      <dgm:t>
        <a:bodyPr/>
        <a:lstStyle/>
        <a:p>
          <a:pPr algn="l"/>
          <a:r>
            <a:rPr lang="en-US">
              <a:latin typeface="Arial" panose="020B0604020202020204" pitchFamily="34" charset="0"/>
              <a:cs typeface="Arial" panose="020B0604020202020204" pitchFamily="34" charset="0"/>
            </a:rPr>
            <a:t>- Refugee Reception Centre</a:t>
          </a:r>
        </a:p>
        <a:p>
          <a:pPr algn="l"/>
          <a:r>
            <a:rPr lang="en-US">
              <a:latin typeface="Arial" panose="020B0604020202020204" pitchFamily="34" charset="0"/>
              <a:cs typeface="Arial" panose="020B0604020202020204" pitchFamily="34" charset="0"/>
            </a:rPr>
            <a:t>- Non-governmental organisations</a:t>
          </a:r>
        </a:p>
        <a:p>
          <a:pPr algn="l"/>
          <a:r>
            <a:rPr lang="en-US">
              <a:latin typeface="Arial" panose="020B0604020202020204" pitchFamily="34" charset="0"/>
              <a:cs typeface="Arial" panose="020B0604020202020204" pitchFamily="34" charset="0"/>
            </a:rPr>
            <a:t>- Municipalities</a:t>
          </a:r>
        </a:p>
      </dgm:t>
    </dgm:pt>
    <dgm:pt modelId="{7BF562A2-2EDF-4ABC-A223-2E7DE7583F17}" type="parTrans" cxnId="{3761F07F-DD1B-414D-8D68-2F5F75C05CBF}">
      <dgm:prSet/>
      <dgm:spPr/>
      <dgm:t>
        <a:bodyPr/>
        <a:lstStyle/>
        <a:p>
          <a:endParaRPr lang="en-US"/>
        </a:p>
      </dgm:t>
    </dgm:pt>
    <dgm:pt modelId="{3BADA3D6-1104-4D1D-A367-72CD75EBEFD7}" type="sibTrans" cxnId="{3761F07F-DD1B-414D-8D68-2F5F75C05CBF}">
      <dgm:prSet/>
      <dgm:spPr/>
      <dgm:t>
        <a:bodyPr/>
        <a:lstStyle/>
        <a:p>
          <a:endParaRPr lang="en-US"/>
        </a:p>
      </dgm:t>
    </dgm:pt>
    <dgm:pt modelId="{648E8EE5-DB47-48A2-AE63-981C57E11CD1}">
      <dgm:prSet phldrT="[Text]" custT="1"/>
      <dgm:spPr/>
      <dgm:t>
        <a:bodyPr/>
        <a:lstStyle/>
        <a:p>
          <a:r>
            <a:rPr lang="en-US" sz="1000" b="1">
              <a:latin typeface="Arial" panose="020B0604020202020204" pitchFamily="34" charset="0"/>
              <a:cs typeface="Arial" panose="020B0604020202020204" pitchFamily="34" charset="0"/>
            </a:rPr>
            <a:t>Integration processes</a:t>
          </a:r>
        </a:p>
        <a:p>
          <a:r>
            <a:rPr lang="en-US" sz="1000">
              <a:latin typeface="Arial" panose="020B0604020202020204" pitchFamily="34" charset="0"/>
              <a:cs typeface="Arial" panose="020B0604020202020204" pitchFamily="34" charset="0"/>
            </a:rPr>
            <a:t>of foreign nationals</a:t>
          </a:r>
        </a:p>
      </dgm:t>
    </dgm:pt>
    <dgm:pt modelId="{69670CC4-E296-44C7-A13F-1438B93C892B}" type="parTrans" cxnId="{89E29920-FE7C-4393-810D-1AD5DA55C2AA}">
      <dgm:prSet/>
      <dgm:spPr/>
      <dgm:t>
        <a:bodyPr/>
        <a:lstStyle/>
        <a:p>
          <a:endParaRPr lang="en-US"/>
        </a:p>
      </dgm:t>
    </dgm:pt>
    <dgm:pt modelId="{9A0271D4-A337-4BFD-B2CB-C3272A375AA8}" type="sibTrans" cxnId="{89E29920-FE7C-4393-810D-1AD5DA55C2AA}">
      <dgm:prSet/>
      <dgm:spPr/>
      <dgm:t>
        <a:bodyPr/>
        <a:lstStyle/>
        <a:p>
          <a:endParaRPr lang="en-US"/>
        </a:p>
      </dgm:t>
    </dgm:pt>
    <dgm:pt modelId="{9CFD06DC-9837-491F-AE42-A7E635FA6801}" type="pres">
      <dgm:prSet presAssocID="{69CF06A8-BAEB-42A4-AAB6-2B4323232DF8}" presName="diagram" presStyleCnt="0">
        <dgm:presLayoutVars>
          <dgm:chPref val="1"/>
          <dgm:dir/>
          <dgm:animOne val="branch"/>
          <dgm:animLvl val="lvl"/>
          <dgm:resizeHandles/>
        </dgm:presLayoutVars>
      </dgm:prSet>
      <dgm:spPr/>
      <dgm:t>
        <a:bodyPr/>
        <a:lstStyle/>
        <a:p>
          <a:endParaRPr lang="fr-BE"/>
        </a:p>
      </dgm:t>
    </dgm:pt>
    <dgm:pt modelId="{D8F4E04A-1381-487F-82AE-F6AE3282469E}" type="pres">
      <dgm:prSet presAssocID="{57D6205E-71A1-448E-9A33-1D1D373EB17F}" presName="root" presStyleCnt="0"/>
      <dgm:spPr/>
    </dgm:pt>
    <dgm:pt modelId="{2BA9BE51-0137-4453-BB06-1F4849311078}" type="pres">
      <dgm:prSet presAssocID="{57D6205E-71A1-448E-9A33-1D1D373EB17F}" presName="rootComposite" presStyleCnt="0"/>
      <dgm:spPr/>
    </dgm:pt>
    <dgm:pt modelId="{257DCAB3-3C1E-4FAC-AEB9-D029DC7F6032}" type="pres">
      <dgm:prSet presAssocID="{57D6205E-71A1-448E-9A33-1D1D373EB17F}" presName="rootText" presStyleLbl="node1" presStyleIdx="0" presStyleCnt="3" custScaleX="133904" custScaleY="162918"/>
      <dgm:spPr/>
      <dgm:t>
        <a:bodyPr/>
        <a:lstStyle/>
        <a:p>
          <a:endParaRPr lang="fr-BE"/>
        </a:p>
      </dgm:t>
    </dgm:pt>
    <dgm:pt modelId="{A8804D44-8742-429B-8342-DF249503ED51}" type="pres">
      <dgm:prSet presAssocID="{57D6205E-71A1-448E-9A33-1D1D373EB17F}" presName="rootConnector" presStyleLbl="node1" presStyleIdx="0" presStyleCnt="3"/>
      <dgm:spPr/>
      <dgm:t>
        <a:bodyPr/>
        <a:lstStyle/>
        <a:p>
          <a:endParaRPr lang="fr-BE"/>
        </a:p>
      </dgm:t>
    </dgm:pt>
    <dgm:pt modelId="{74767546-4FE6-411C-BE47-1D47BE159837}" type="pres">
      <dgm:prSet presAssocID="{57D6205E-71A1-448E-9A33-1D1D373EB17F}" presName="childShape" presStyleCnt="0"/>
      <dgm:spPr/>
    </dgm:pt>
    <dgm:pt modelId="{58FD0E17-7737-4491-9828-1B0E4EDC0118}" type="pres">
      <dgm:prSet presAssocID="{671DEC6E-2199-4AE4-B71F-58EA2C3A3AFE}" presName="Name13" presStyleLbl="parChTrans1D2" presStyleIdx="0" presStyleCnt="3"/>
      <dgm:spPr/>
      <dgm:t>
        <a:bodyPr/>
        <a:lstStyle/>
        <a:p>
          <a:endParaRPr lang="fr-BE"/>
        </a:p>
      </dgm:t>
    </dgm:pt>
    <dgm:pt modelId="{C83B2415-557D-4176-8AFE-09F3412D02C8}" type="pres">
      <dgm:prSet presAssocID="{C7A0B96F-6A62-4644-AE38-B5319C9748E6}" presName="childText" presStyleLbl="bgAcc1" presStyleIdx="0" presStyleCnt="3" custScaleX="153067" custScaleY="75725">
        <dgm:presLayoutVars>
          <dgm:bulletEnabled val="1"/>
        </dgm:presLayoutVars>
      </dgm:prSet>
      <dgm:spPr/>
      <dgm:t>
        <a:bodyPr/>
        <a:lstStyle/>
        <a:p>
          <a:endParaRPr lang="fr-BE"/>
        </a:p>
      </dgm:t>
    </dgm:pt>
    <dgm:pt modelId="{D74F9629-CA65-40E9-B522-EB6DEF96862E}" type="pres">
      <dgm:prSet presAssocID="{F83A4D54-38DF-49DF-BAB0-5B5BBEA5B9A5}" presName="root" presStyleCnt="0"/>
      <dgm:spPr/>
    </dgm:pt>
    <dgm:pt modelId="{12F9572A-2C3E-47C7-991C-AA2E31C95F33}" type="pres">
      <dgm:prSet presAssocID="{F83A4D54-38DF-49DF-BAB0-5B5BBEA5B9A5}" presName="rootComposite" presStyleCnt="0"/>
      <dgm:spPr/>
    </dgm:pt>
    <dgm:pt modelId="{053B9813-AC19-4C6A-9BD7-CF731A35C18A}" type="pres">
      <dgm:prSet presAssocID="{F83A4D54-38DF-49DF-BAB0-5B5BBEA5B9A5}" presName="rootText" presStyleLbl="node1" presStyleIdx="1" presStyleCnt="3" custScaleX="135438" custScaleY="161476"/>
      <dgm:spPr/>
      <dgm:t>
        <a:bodyPr/>
        <a:lstStyle/>
        <a:p>
          <a:endParaRPr lang="fr-BE"/>
        </a:p>
      </dgm:t>
    </dgm:pt>
    <dgm:pt modelId="{0375F35F-30AB-4534-8874-04101D83F759}" type="pres">
      <dgm:prSet presAssocID="{F83A4D54-38DF-49DF-BAB0-5B5BBEA5B9A5}" presName="rootConnector" presStyleLbl="node1" presStyleIdx="1" presStyleCnt="3"/>
      <dgm:spPr/>
      <dgm:t>
        <a:bodyPr/>
        <a:lstStyle/>
        <a:p>
          <a:endParaRPr lang="fr-BE"/>
        </a:p>
      </dgm:t>
    </dgm:pt>
    <dgm:pt modelId="{592379A0-FE57-40EA-BA2B-3EE6136E9199}" type="pres">
      <dgm:prSet presAssocID="{F83A4D54-38DF-49DF-BAB0-5B5BBEA5B9A5}" presName="childShape" presStyleCnt="0"/>
      <dgm:spPr/>
    </dgm:pt>
    <dgm:pt modelId="{7B78FFE7-4413-4D10-A986-686A8D50001A}" type="pres">
      <dgm:prSet presAssocID="{1B328072-7171-4EB7-BE9C-E035F5000343}" presName="Name13" presStyleLbl="parChTrans1D2" presStyleIdx="1" presStyleCnt="3"/>
      <dgm:spPr/>
      <dgm:t>
        <a:bodyPr/>
        <a:lstStyle/>
        <a:p>
          <a:endParaRPr lang="fr-BE"/>
        </a:p>
      </dgm:t>
    </dgm:pt>
    <dgm:pt modelId="{DC655817-127F-4B65-9B3B-38915029E9A4}" type="pres">
      <dgm:prSet presAssocID="{1A8DA00A-0EC0-432A-9D28-A968BC8FE476}" presName="childText" presStyleLbl="bgAcc1" presStyleIdx="1" presStyleCnt="3" custScaleX="152188" custScaleY="77520">
        <dgm:presLayoutVars>
          <dgm:bulletEnabled val="1"/>
        </dgm:presLayoutVars>
      </dgm:prSet>
      <dgm:spPr/>
      <dgm:t>
        <a:bodyPr/>
        <a:lstStyle/>
        <a:p>
          <a:endParaRPr lang="fr-BE"/>
        </a:p>
      </dgm:t>
    </dgm:pt>
    <dgm:pt modelId="{3D3B6A76-C314-404E-81A7-34C65FB60B12}" type="pres">
      <dgm:prSet presAssocID="{648D75CD-DA10-41B5-96E1-F87C6AF6B90B}" presName="root" presStyleCnt="0"/>
      <dgm:spPr/>
    </dgm:pt>
    <dgm:pt modelId="{80783B1F-3212-445E-AE79-C4FD2989D58F}" type="pres">
      <dgm:prSet presAssocID="{648D75CD-DA10-41B5-96E1-F87C6AF6B90B}" presName="rootComposite" presStyleCnt="0"/>
      <dgm:spPr/>
    </dgm:pt>
    <dgm:pt modelId="{9557E0F6-A6BC-45C5-BD48-7E3506D9EFCA}" type="pres">
      <dgm:prSet presAssocID="{648D75CD-DA10-41B5-96E1-F87C6AF6B90B}" presName="rootText" presStyleLbl="node1" presStyleIdx="2" presStyleCnt="3" custScaleX="135438" custScaleY="160011"/>
      <dgm:spPr/>
      <dgm:t>
        <a:bodyPr/>
        <a:lstStyle/>
        <a:p>
          <a:endParaRPr lang="fr-BE"/>
        </a:p>
      </dgm:t>
    </dgm:pt>
    <dgm:pt modelId="{90D73354-C50C-4DEB-881F-CE56C66619B0}" type="pres">
      <dgm:prSet presAssocID="{648D75CD-DA10-41B5-96E1-F87C6AF6B90B}" presName="rootConnector" presStyleLbl="node1" presStyleIdx="2" presStyleCnt="3"/>
      <dgm:spPr/>
      <dgm:t>
        <a:bodyPr/>
        <a:lstStyle/>
        <a:p>
          <a:endParaRPr lang="fr-BE"/>
        </a:p>
      </dgm:t>
    </dgm:pt>
    <dgm:pt modelId="{24DDE0EB-66A4-41AB-9AA7-1F20C3797D3A}" type="pres">
      <dgm:prSet presAssocID="{648D75CD-DA10-41B5-96E1-F87C6AF6B90B}" presName="childShape" presStyleCnt="0"/>
      <dgm:spPr/>
    </dgm:pt>
    <dgm:pt modelId="{AE0D3050-20DB-4751-9805-0B5909068C3F}" type="pres">
      <dgm:prSet presAssocID="{69670CC4-E296-44C7-A13F-1438B93C892B}" presName="Name13" presStyleLbl="parChTrans1D2" presStyleIdx="2" presStyleCnt="3"/>
      <dgm:spPr/>
      <dgm:t>
        <a:bodyPr/>
        <a:lstStyle/>
        <a:p>
          <a:endParaRPr lang="fr-BE"/>
        </a:p>
      </dgm:t>
    </dgm:pt>
    <dgm:pt modelId="{8284F7E9-9406-47B9-B12F-27BA88F05D5B}" type="pres">
      <dgm:prSet presAssocID="{648E8EE5-DB47-48A2-AE63-981C57E11CD1}" presName="childText" presStyleLbl="bgAcc1" presStyleIdx="2" presStyleCnt="3" custScaleX="152188" custScaleY="76471">
        <dgm:presLayoutVars>
          <dgm:bulletEnabled val="1"/>
        </dgm:presLayoutVars>
      </dgm:prSet>
      <dgm:spPr/>
      <dgm:t>
        <a:bodyPr/>
        <a:lstStyle/>
        <a:p>
          <a:endParaRPr lang="fr-BE"/>
        </a:p>
      </dgm:t>
    </dgm:pt>
  </dgm:ptLst>
  <dgm:cxnLst>
    <dgm:cxn modelId="{E2ACADDD-F88E-4E3B-B8A6-96DF48F1FC91}" type="presOf" srcId="{57D6205E-71A1-448E-9A33-1D1D373EB17F}" destId="{A8804D44-8742-429B-8342-DF249503ED51}" srcOrd="1" destOrd="0" presId="urn:microsoft.com/office/officeart/2005/8/layout/hierarchy3"/>
    <dgm:cxn modelId="{1C9A97AE-5A90-411A-B94C-6DA76D2963AE}" type="presOf" srcId="{1B328072-7171-4EB7-BE9C-E035F5000343}" destId="{7B78FFE7-4413-4D10-A986-686A8D50001A}" srcOrd="0" destOrd="0" presId="urn:microsoft.com/office/officeart/2005/8/layout/hierarchy3"/>
    <dgm:cxn modelId="{89E29920-FE7C-4393-810D-1AD5DA55C2AA}" srcId="{648D75CD-DA10-41B5-96E1-F87C6AF6B90B}" destId="{648E8EE5-DB47-48A2-AE63-981C57E11CD1}" srcOrd="0" destOrd="0" parTransId="{69670CC4-E296-44C7-A13F-1438B93C892B}" sibTransId="{9A0271D4-A337-4BFD-B2CB-C3272A375AA8}"/>
    <dgm:cxn modelId="{DEB03B24-1BE2-4DF2-8CD6-F8AC68D2EE8C}" type="presOf" srcId="{F83A4D54-38DF-49DF-BAB0-5B5BBEA5B9A5}" destId="{0375F35F-30AB-4534-8874-04101D83F759}" srcOrd="1" destOrd="0" presId="urn:microsoft.com/office/officeart/2005/8/layout/hierarchy3"/>
    <dgm:cxn modelId="{F636EB7D-A952-4410-91B8-F574135FB1DD}" type="presOf" srcId="{F83A4D54-38DF-49DF-BAB0-5B5BBEA5B9A5}" destId="{053B9813-AC19-4C6A-9BD7-CF731A35C18A}" srcOrd="0" destOrd="0" presId="urn:microsoft.com/office/officeart/2005/8/layout/hierarchy3"/>
    <dgm:cxn modelId="{8D07ED50-2963-4AAD-9972-309525FE5736}" type="presOf" srcId="{648E8EE5-DB47-48A2-AE63-981C57E11CD1}" destId="{8284F7E9-9406-47B9-B12F-27BA88F05D5B}" srcOrd="0" destOrd="0" presId="urn:microsoft.com/office/officeart/2005/8/layout/hierarchy3"/>
    <dgm:cxn modelId="{E7C3E071-39BB-4BA8-AB4C-3C66209A9EB6}" type="presOf" srcId="{648D75CD-DA10-41B5-96E1-F87C6AF6B90B}" destId="{90D73354-C50C-4DEB-881F-CE56C66619B0}" srcOrd="1" destOrd="0" presId="urn:microsoft.com/office/officeart/2005/8/layout/hierarchy3"/>
    <dgm:cxn modelId="{8D6EE634-9C77-442E-AD76-94CDCE02112F}" srcId="{69CF06A8-BAEB-42A4-AAB6-2B4323232DF8}" destId="{57D6205E-71A1-448E-9A33-1D1D373EB17F}" srcOrd="0" destOrd="0" parTransId="{82656A24-35F4-4EB8-947F-7C24405A2DBD}" sibTransId="{EB2C6331-31A8-4086-8FD4-19C1F4399D29}"/>
    <dgm:cxn modelId="{8A669C55-3016-46E4-B9A0-AFB166038636}" type="presOf" srcId="{69CF06A8-BAEB-42A4-AAB6-2B4323232DF8}" destId="{9CFD06DC-9837-491F-AE42-A7E635FA6801}" srcOrd="0" destOrd="0" presId="urn:microsoft.com/office/officeart/2005/8/layout/hierarchy3"/>
    <dgm:cxn modelId="{7AE4D680-4A8D-4B52-A87B-181FE5DAF862}" srcId="{69CF06A8-BAEB-42A4-AAB6-2B4323232DF8}" destId="{F83A4D54-38DF-49DF-BAB0-5B5BBEA5B9A5}" srcOrd="1" destOrd="0" parTransId="{E58A9FD0-A706-4EC3-9029-8058630A6F13}" sibTransId="{43205BD8-A56F-4C7F-96D6-145CB7E72791}"/>
    <dgm:cxn modelId="{071D6FBA-CCF4-4682-AE1C-50B1DDB5046F}" type="presOf" srcId="{648D75CD-DA10-41B5-96E1-F87C6AF6B90B}" destId="{9557E0F6-A6BC-45C5-BD48-7E3506D9EFCA}" srcOrd="0" destOrd="0" presId="urn:microsoft.com/office/officeart/2005/8/layout/hierarchy3"/>
    <dgm:cxn modelId="{3761F07F-DD1B-414D-8D68-2F5F75C05CBF}" srcId="{69CF06A8-BAEB-42A4-AAB6-2B4323232DF8}" destId="{648D75CD-DA10-41B5-96E1-F87C6AF6B90B}" srcOrd="2" destOrd="0" parTransId="{7BF562A2-2EDF-4ABC-A223-2E7DE7583F17}" sibTransId="{3BADA3D6-1104-4D1D-A367-72CD75EBEFD7}"/>
    <dgm:cxn modelId="{5282A91B-92E6-4D7D-9464-CE9FC231898A}" srcId="{F83A4D54-38DF-49DF-BAB0-5B5BBEA5B9A5}" destId="{1A8DA00A-0EC0-432A-9D28-A968BC8FE476}" srcOrd="0" destOrd="0" parTransId="{1B328072-7171-4EB7-BE9C-E035F5000343}" sibTransId="{93C40072-8382-4DA4-AC1E-0DE6E79B2A0B}"/>
    <dgm:cxn modelId="{BB30FE52-84FC-45B2-8208-0DBD4BC58399}" type="presOf" srcId="{671DEC6E-2199-4AE4-B71F-58EA2C3A3AFE}" destId="{58FD0E17-7737-4491-9828-1B0E4EDC0118}" srcOrd="0" destOrd="0" presId="urn:microsoft.com/office/officeart/2005/8/layout/hierarchy3"/>
    <dgm:cxn modelId="{389D3DEA-8C8F-4590-B2FD-C3FFFA9D3850}" type="presOf" srcId="{C7A0B96F-6A62-4644-AE38-B5319C9748E6}" destId="{C83B2415-557D-4176-8AFE-09F3412D02C8}" srcOrd="0" destOrd="0" presId="urn:microsoft.com/office/officeart/2005/8/layout/hierarchy3"/>
    <dgm:cxn modelId="{8D0EC09E-2F33-4EFB-8353-D1E2EE77FA38}" type="presOf" srcId="{57D6205E-71A1-448E-9A33-1D1D373EB17F}" destId="{257DCAB3-3C1E-4FAC-AEB9-D029DC7F6032}" srcOrd="0" destOrd="0" presId="urn:microsoft.com/office/officeart/2005/8/layout/hierarchy3"/>
    <dgm:cxn modelId="{E7BA7A5D-B231-497F-9DD2-9833E21F2699}" type="presOf" srcId="{69670CC4-E296-44C7-A13F-1438B93C892B}" destId="{AE0D3050-20DB-4751-9805-0B5909068C3F}" srcOrd="0" destOrd="0" presId="urn:microsoft.com/office/officeart/2005/8/layout/hierarchy3"/>
    <dgm:cxn modelId="{FC841A75-AFDA-49DE-A627-132FC0DABDB1}" type="presOf" srcId="{1A8DA00A-0EC0-432A-9D28-A968BC8FE476}" destId="{DC655817-127F-4B65-9B3B-38915029E9A4}" srcOrd="0" destOrd="0" presId="urn:microsoft.com/office/officeart/2005/8/layout/hierarchy3"/>
    <dgm:cxn modelId="{288118C2-CCFD-4FF3-9C55-F8FA66C28472}" srcId="{57D6205E-71A1-448E-9A33-1D1D373EB17F}" destId="{C7A0B96F-6A62-4644-AE38-B5319C9748E6}" srcOrd="0" destOrd="0" parTransId="{671DEC6E-2199-4AE4-B71F-58EA2C3A3AFE}" sibTransId="{3F7C5CF6-F498-4966-ADC7-8EEBD041B48C}"/>
    <dgm:cxn modelId="{95942E14-B34D-4C4D-9CC4-0CB478711713}" type="presParOf" srcId="{9CFD06DC-9837-491F-AE42-A7E635FA6801}" destId="{D8F4E04A-1381-487F-82AE-F6AE3282469E}" srcOrd="0" destOrd="0" presId="urn:microsoft.com/office/officeart/2005/8/layout/hierarchy3"/>
    <dgm:cxn modelId="{81A8AC5C-8EAE-423B-8BDA-CA836E56DAB6}" type="presParOf" srcId="{D8F4E04A-1381-487F-82AE-F6AE3282469E}" destId="{2BA9BE51-0137-4453-BB06-1F4849311078}" srcOrd="0" destOrd="0" presId="urn:microsoft.com/office/officeart/2005/8/layout/hierarchy3"/>
    <dgm:cxn modelId="{E3E562B6-C335-4461-8888-702DA3F3E4E1}" type="presParOf" srcId="{2BA9BE51-0137-4453-BB06-1F4849311078}" destId="{257DCAB3-3C1E-4FAC-AEB9-D029DC7F6032}" srcOrd="0" destOrd="0" presId="urn:microsoft.com/office/officeart/2005/8/layout/hierarchy3"/>
    <dgm:cxn modelId="{6321A196-779A-402F-8FBF-00F71CB7A672}" type="presParOf" srcId="{2BA9BE51-0137-4453-BB06-1F4849311078}" destId="{A8804D44-8742-429B-8342-DF249503ED51}" srcOrd="1" destOrd="0" presId="urn:microsoft.com/office/officeart/2005/8/layout/hierarchy3"/>
    <dgm:cxn modelId="{EC9F9BCF-E272-4462-9714-B7D286BBA225}" type="presParOf" srcId="{D8F4E04A-1381-487F-82AE-F6AE3282469E}" destId="{74767546-4FE6-411C-BE47-1D47BE159837}" srcOrd="1" destOrd="0" presId="urn:microsoft.com/office/officeart/2005/8/layout/hierarchy3"/>
    <dgm:cxn modelId="{2CAE3917-EB7E-4D81-8428-5601934BE81B}" type="presParOf" srcId="{74767546-4FE6-411C-BE47-1D47BE159837}" destId="{58FD0E17-7737-4491-9828-1B0E4EDC0118}" srcOrd="0" destOrd="0" presId="urn:microsoft.com/office/officeart/2005/8/layout/hierarchy3"/>
    <dgm:cxn modelId="{90AD0156-3343-4CF2-BCB9-F6C2B8C8C78F}" type="presParOf" srcId="{74767546-4FE6-411C-BE47-1D47BE159837}" destId="{C83B2415-557D-4176-8AFE-09F3412D02C8}" srcOrd="1" destOrd="0" presId="urn:microsoft.com/office/officeart/2005/8/layout/hierarchy3"/>
    <dgm:cxn modelId="{B9361FC2-764D-40B7-B485-FD7EE04C7E07}" type="presParOf" srcId="{9CFD06DC-9837-491F-AE42-A7E635FA6801}" destId="{D74F9629-CA65-40E9-B522-EB6DEF96862E}" srcOrd="1" destOrd="0" presId="urn:microsoft.com/office/officeart/2005/8/layout/hierarchy3"/>
    <dgm:cxn modelId="{BB0BAAD7-3AE5-4DED-B6AB-828C0A8C8549}" type="presParOf" srcId="{D74F9629-CA65-40E9-B522-EB6DEF96862E}" destId="{12F9572A-2C3E-47C7-991C-AA2E31C95F33}" srcOrd="0" destOrd="0" presId="urn:microsoft.com/office/officeart/2005/8/layout/hierarchy3"/>
    <dgm:cxn modelId="{85A00FEF-9BFF-4149-B2D8-CB38FE407F3C}" type="presParOf" srcId="{12F9572A-2C3E-47C7-991C-AA2E31C95F33}" destId="{053B9813-AC19-4C6A-9BD7-CF731A35C18A}" srcOrd="0" destOrd="0" presId="urn:microsoft.com/office/officeart/2005/8/layout/hierarchy3"/>
    <dgm:cxn modelId="{C4BF23CF-E74B-491A-9BDE-B0D96455C22E}" type="presParOf" srcId="{12F9572A-2C3E-47C7-991C-AA2E31C95F33}" destId="{0375F35F-30AB-4534-8874-04101D83F759}" srcOrd="1" destOrd="0" presId="urn:microsoft.com/office/officeart/2005/8/layout/hierarchy3"/>
    <dgm:cxn modelId="{0AB497A5-5008-4CF5-9839-DF0AD36A5607}" type="presParOf" srcId="{D74F9629-CA65-40E9-B522-EB6DEF96862E}" destId="{592379A0-FE57-40EA-BA2B-3EE6136E9199}" srcOrd="1" destOrd="0" presId="urn:microsoft.com/office/officeart/2005/8/layout/hierarchy3"/>
    <dgm:cxn modelId="{F0222BCB-312D-4E54-889E-558F34C14CEF}" type="presParOf" srcId="{592379A0-FE57-40EA-BA2B-3EE6136E9199}" destId="{7B78FFE7-4413-4D10-A986-686A8D50001A}" srcOrd="0" destOrd="0" presId="urn:microsoft.com/office/officeart/2005/8/layout/hierarchy3"/>
    <dgm:cxn modelId="{5C1E7C46-C177-457B-9FC0-811E79F008F2}" type="presParOf" srcId="{592379A0-FE57-40EA-BA2B-3EE6136E9199}" destId="{DC655817-127F-4B65-9B3B-38915029E9A4}" srcOrd="1" destOrd="0" presId="urn:microsoft.com/office/officeart/2005/8/layout/hierarchy3"/>
    <dgm:cxn modelId="{06426145-0C1F-479D-B0C3-6A087BA59B2F}" type="presParOf" srcId="{9CFD06DC-9837-491F-AE42-A7E635FA6801}" destId="{3D3B6A76-C314-404E-81A7-34C65FB60B12}" srcOrd="2" destOrd="0" presId="urn:microsoft.com/office/officeart/2005/8/layout/hierarchy3"/>
    <dgm:cxn modelId="{91D34C10-F8CC-48A0-88D0-ABC814165D36}" type="presParOf" srcId="{3D3B6A76-C314-404E-81A7-34C65FB60B12}" destId="{80783B1F-3212-445E-AE79-C4FD2989D58F}" srcOrd="0" destOrd="0" presId="urn:microsoft.com/office/officeart/2005/8/layout/hierarchy3"/>
    <dgm:cxn modelId="{A0AD6547-7AB6-4206-82EA-0484B9CD5FDD}" type="presParOf" srcId="{80783B1F-3212-445E-AE79-C4FD2989D58F}" destId="{9557E0F6-A6BC-45C5-BD48-7E3506D9EFCA}" srcOrd="0" destOrd="0" presId="urn:microsoft.com/office/officeart/2005/8/layout/hierarchy3"/>
    <dgm:cxn modelId="{EF4791E0-9912-4480-90F1-96A87B37241B}" type="presParOf" srcId="{80783B1F-3212-445E-AE79-C4FD2989D58F}" destId="{90D73354-C50C-4DEB-881F-CE56C66619B0}" srcOrd="1" destOrd="0" presId="urn:microsoft.com/office/officeart/2005/8/layout/hierarchy3"/>
    <dgm:cxn modelId="{648B6793-1797-47EE-B4C9-B905092942D7}" type="presParOf" srcId="{3D3B6A76-C314-404E-81A7-34C65FB60B12}" destId="{24DDE0EB-66A4-41AB-9AA7-1F20C3797D3A}" srcOrd="1" destOrd="0" presId="urn:microsoft.com/office/officeart/2005/8/layout/hierarchy3"/>
    <dgm:cxn modelId="{2A459AC9-FA0F-4608-80D6-D10922B0A748}" type="presParOf" srcId="{24DDE0EB-66A4-41AB-9AA7-1F20C3797D3A}" destId="{AE0D3050-20DB-4751-9805-0B5909068C3F}" srcOrd="0" destOrd="0" presId="urn:microsoft.com/office/officeart/2005/8/layout/hierarchy3"/>
    <dgm:cxn modelId="{A5D19765-A8A7-47A6-92A4-56D8C6BE2E7B}" type="presParOf" srcId="{24DDE0EB-66A4-41AB-9AA7-1F20C3797D3A}" destId="{8284F7E9-9406-47B9-B12F-27BA88F05D5B}" srcOrd="1" destOrd="0" presId="urn:microsoft.com/office/officeart/2005/8/layout/hierarchy3"/>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57DCAB3-3C1E-4FAC-AEB9-D029DC7F6032}">
      <dsp:nvSpPr>
        <dsp:cNvPr id="0" name=""/>
        <dsp:cNvSpPr/>
      </dsp:nvSpPr>
      <dsp:spPr>
        <a:xfrm>
          <a:off x="3122" y="108570"/>
          <a:ext cx="1779867" cy="1082762"/>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2700" rIns="19050" bIns="12700" numCol="1" spcCol="1270" anchor="ctr" anchorCtr="0">
          <a:noAutofit/>
        </a:bodyPr>
        <a:lstStyle/>
        <a:p>
          <a:pPr lvl="0" algn="l" defTabSz="444500">
            <a:lnSpc>
              <a:spcPct val="90000"/>
            </a:lnSpc>
            <a:spcBef>
              <a:spcPct val="0"/>
            </a:spcBef>
            <a:spcAft>
              <a:spcPct val="35000"/>
            </a:spcAft>
          </a:pPr>
          <a:r>
            <a:rPr lang="en-US" sz="1000" kern="1200">
              <a:latin typeface="Arial" panose="020B0604020202020204" pitchFamily="34" charset="0"/>
              <a:cs typeface="Arial" panose="020B0604020202020204" pitchFamily="34" charset="0"/>
            </a:rPr>
            <a:t>- Migration Department</a:t>
          </a:r>
        </a:p>
        <a:p>
          <a:pPr lvl="0" algn="l" defTabSz="444500">
            <a:lnSpc>
              <a:spcPct val="90000"/>
            </a:lnSpc>
            <a:spcBef>
              <a:spcPct val="0"/>
            </a:spcBef>
            <a:spcAft>
              <a:spcPct val="35000"/>
            </a:spcAft>
          </a:pPr>
          <a:r>
            <a:rPr lang="en-US" sz="1000" kern="1200">
              <a:latin typeface="Arial" panose="020B0604020202020204" pitchFamily="34" charset="0"/>
              <a:cs typeface="Arial" panose="020B0604020202020204" pitchFamily="34" charset="0"/>
            </a:rPr>
            <a:t>- Police Department</a:t>
          </a:r>
        </a:p>
        <a:p>
          <a:pPr lvl="0" algn="l" defTabSz="444500">
            <a:lnSpc>
              <a:spcPct val="90000"/>
            </a:lnSpc>
            <a:spcBef>
              <a:spcPct val="0"/>
            </a:spcBef>
            <a:spcAft>
              <a:spcPct val="35000"/>
            </a:spcAft>
          </a:pPr>
          <a:r>
            <a:rPr lang="en-US" sz="1000" kern="1200">
              <a:latin typeface="Arial" panose="020B0604020202020204" pitchFamily="34" charset="0"/>
              <a:cs typeface="Arial" panose="020B0604020202020204" pitchFamily="34" charset="0"/>
            </a:rPr>
            <a:t>- Migration offices</a:t>
          </a:r>
        </a:p>
        <a:p>
          <a:pPr lvl="0" algn="l" defTabSz="444500">
            <a:lnSpc>
              <a:spcPct val="90000"/>
            </a:lnSpc>
            <a:spcBef>
              <a:spcPct val="0"/>
            </a:spcBef>
            <a:spcAft>
              <a:spcPct val="35000"/>
            </a:spcAft>
          </a:pPr>
          <a:r>
            <a:rPr lang="en-US" sz="1000" kern="1200">
              <a:latin typeface="Arial" panose="020B0604020202020204" pitchFamily="34" charset="0"/>
              <a:cs typeface="Arial" panose="020B0604020202020204" pitchFamily="34" charset="0"/>
            </a:rPr>
            <a:t>- Diplomatic missions and consular posts </a:t>
          </a:r>
        </a:p>
      </dsp:txBody>
      <dsp:txXfrm>
        <a:off x="34835" y="140283"/>
        <a:ext cx="1716441" cy="1019336"/>
      </dsp:txXfrm>
    </dsp:sp>
    <dsp:sp modelId="{58FD0E17-7737-4491-9828-1B0E4EDC0118}">
      <dsp:nvSpPr>
        <dsp:cNvPr id="0" name=""/>
        <dsp:cNvSpPr/>
      </dsp:nvSpPr>
      <dsp:spPr>
        <a:xfrm>
          <a:off x="181109" y="1191333"/>
          <a:ext cx="177986" cy="417787"/>
        </a:xfrm>
        <a:custGeom>
          <a:avLst/>
          <a:gdLst/>
          <a:ahLst/>
          <a:cxnLst/>
          <a:rect l="0" t="0" r="0" b="0"/>
          <a:pathLst>
            <a:path>
              <a:moveTo>
                <a:pt x="0" y="0"/>
              </a:moveTo>
              <a:lnTo>
                <a:pt x="0" y="417787"/>
              </a:lnTo>
              <a:lnTo>
                <a:pt x="177986" y="41778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83B2415-557D-4176-8AFE-09F3412D02C8}">
      <dsp:nvSpPr>
        <dsp:cNvPr id="0" name=""/>
        <dsp:cNvSpPr/>
      </dsp:nvSpPr>
      <dsp:spPr>
        <a:xfrm>
          <a:off x="359096" y="1357485"/>
          <a:ext cx="1627667" cy="503272"/>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lvl="0" algn="ctr" defTabSz="444500">
            <a:lnSpc>
              <a:spcPct val="90000"/>
            </a:lnSpc>
            <a:spcBef>
              <a:spcPct val="0"/>
            </a:spcBef>
            <a:spcAft>
              <a:spcPct val="35000"/>
            </a:spcAft>
          </a:pPr>
          <a:r>
            <a:rPr lang="en-US" sz="1000" kern="1200">
              <a:latin typeface="Arial" panose="020B0604020202020204" pitchFamily="34" charset="0"/>
              <a:cs typeface="Arial" panose="020B0604020202020204" pitchFamily="34" charset="0"/>
            </a:rPr>
            <a:t>Residence permits</a:t>
          </a:r>
        </a:p>
        <a:p>
          <a:pPr lvl="0" algn="ctr" defTabSz="444500">
            <a:lnSpc>
              <a:spcPct val="90000"/>
            </a:lnSpc>
            <a:spcBef>
              <a:spcPct val="0"/>
            </a:spcBef>
            <a:spcAft>
              <a:spcPct val="35000"/>
            </a:spcAft>
          </a:pPr>
          <a:r>
            <a:rPr lang="en-US" sz="1000" kern="1200">
              <a:latin typeface="Arial" panose="020B0604020202020204" pitchFamily="34" charset="0"/>
              <a:cs typeface="Arial" panose="020B0604020202020204" pitchFamily="34" charset="0"/>
            </a:rPr>
            <a:t>(</a:t>
          </a:r>
          <a:r>
            <a:rPr lang="en-US" sz="1000" b="1" kern="1200">
              <a:latin typeface="Arial" panose="020B0604020202020204" pitchFamily="34" charset="0"/>
              <a:cs typeface="Arial" panose="020B0604020202020204" pitchFamily="34" charset="0"/>
            </a:rPr>
            <a:t>immigration</a:t>
          </a:r>
          <a:r>
            <a:rPr lang="en-US" sz="1000" kern="1200">
              <a:latin typeface="Arial" panose="020B0604020202020204" pitchFamily="34" charset="0"/>
              <a:cs typeface="Arial" panose="020B0604020202020204" pitchFamily="34" charset="0"/>
            </a:rPr>
            <a:t>)</a:t>
          </a:r>
        </a:p>
      </dsp:txBody>
      <dsp:txXfrm>
        <a:off x="373836" y="1372225"/>
        <a:ext cx="1598187" cy="473792"/>
      </dsp:txXfrm>
    </dsp:sp>
    <dsp:sp modelId="{053B9813-AC19-4C6A-9BD7-CF731A35C18A}">
      <dsp:nvSpPr>
        <dsp:cNvPr id="0" name=""/>
        <dsp:cNvSpPr/>
      </dsp:nvSpPr>
      <dsp:spPr>
        <a:xfrm>
          <a:off x="2115293" y="108570"/>
          <a:ext cx="1800257" cy="1073179"/>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1430" rIns="17145" bIns="11430" numCol="1" spcCol="1270" anchor="ctr" anchorCtr="0">
          <a:noAutofit/>
        </a:bodyPr>
        <a:lstStyle/>
        <a:p>
          <a:pPr lvl="0" algn="l" defTabSz="400050">
            <a:lnSpc>
              <a:spcPct val="90000"/>
            </a:lnSpc>
            <a:spcBef>
              <a:spcPct val="0"/>
            </a:spcBef>
            <a:spcAft>
              <a:spcPct val="35000"/>
            </a:spcAft>
          </a:pPr>
          <a:r>
            <a:rPr lang="en-US" sz="900" kern="1200">
              <a:latin typeface="Arial" panose="020B0604020202020204" pitchFamily="34" charset="0"/>
              <a:cs typeface="Arial" panose="020B0604020202020204" pitchFamily="34" charset="0"/>
            </a:rPr>
            <a:t>- Migration Department</a:t>
          </a:r>
        </a:p>
        <a:p>
          <a:pPr lvl="0" algn="l" defTabSz="400050">
            <a:lnSpc>
              <a:spcPct val="90000"/>
            </a:lnSpc>
            <a:spcBef>
              <a:spcPct val="0"/>
            </a:spcBef>
            <a:spcAft>
              <a:spcPct val="35000"/>
            </a:spcAft>
          </a:pPr>
          <a:r>
            <a:rPr lang="en-US" sz="900" kern="1200">
              <a:latin typeface="Arial" panose="020B0604020202020204" pitchFamily="34" charset="0"/>
              <a:cs typeface="Arial" panose="020B0604020202020204" pitchFamily="34" charset="0"/>
            </a:rPr>
            <a:t>- State Border Guard Service</a:t>
          </a:r>
        </a:p>
        <a:p>
          <a:pPr lvl="0" algn="l" defTabSz="400050">
            <a:lnSpc>
              <a:spcPct val="90000"/>
            </a:lnSpc>
            <a:spcBef>
              <a:spcPct val="0"/>
            </a:spcBef>
            <a:spcAft>
              <a:spcPct val="35000"/>
            </a:spcAft>
          </a:pPr>
          <a:r>
            <a:rPr lang="en-US" sz="900" kern="1200">
              <a:latin typeface="Arial" panose="020B0604020202020204" pitchFamily="34" charset="0"/>
              <a:cs typeface="Arial" panose="020B0604020202020204" pitchFamily="34" charset="0"/>
            </a:rPr>
            <a:t>- Foreigners’ Registration Centre</a:t>
          </a:r>
        </a:p>
        <a:p>
          <a:pPr lvl="0" algn="l" defTabSz="400050">
            <a:lnSpc>
              <a:spcPct val="90000"/>
            </a:lnSpc>
            <a:spcBef>
              <a:spcPct val="0"/>
            </a:spcBef>
            <a:spcAft>
              <a:spcPct val="35000"/>
            </a:spcAft>
          </a:pPr>
          <a:r>
            <a:rPr lang="en-US" sz="900" kern="1200">
              <a:latin typeface="Arial" panose="020B0604020202020204" pitchFamily="34" charset="0"/>
              <a:cs typeface="Arial" panose="020B0604020202020204" pitchFamily="34" charset="0"/>
            </a:rPr>
            <a:t>- Police Department</a:t>
          </a:r>
        </a:p>
        <a:p>
          <a:pPr lvl="0" algn="l" defTabSz="400050">
            <a:lnSpc>
              <a:spcPct val="90000"/>
            </a:lnSpc>
            <a:spcBef>
              <a:spcPct val="0"/>
            </a:spcBef>
            <a:spcAft>
              <a:spcPct val="35000"/>
            </a:spcAft>
          </a:pPr>
          <a:r>
            <a:rPr lang="en-US" sz="900" kern="1200">
              <a:latin typeface="Arial" panose="020B0604020202020204" pitchFamily="34" charset="0"/>
              <a:cs typeface="Arial" panose="020B0604020202020204" pitchFamily="34" charset="0"/>
            </a:rPr>
            <a:t>- Migration offices</a:t>
          </a:r>
        </a:p>
      </dsp:txBody>
      <dsp:txXfrm>
        <a:off x="2146725" y="140002"/>
        <a:ext cx="1737393" cy="1010315"/>
      </dsp:txXfrm>
    </dsp:sp>
    <dsp:sp modelId="{7B78FFE7-4413-4D10-A986-686A8D50001A}">
      <dsp:nvSpPr>
        <dsp:cNvPr id="0" name=""/>
        <dsp:cNvSpPr/>
      </dsp:nvSpPr>
      <dsp:spPr>
        <a:xfrm>
          <a:off x="2295319" y="1181750"/>
          <a:ext cx="180025" cy="423752"/>
        </a:xfrm>
        <a:custGeom>
          <a:avLst/>
          <a:gdLst/>
          <a:ahLst/>
          <a:cxnLst/>
          <a:rect l="0" t="0" r="0" b="0"/>
          <a:pathLst>
            <a:path>
              <a:moveTo>
                <a:pt x="0" y="0"/>
              </a:moveTo>
              <a:lnTo>
                <a:pt x="0" y="423752"/>
              </a:lnTo>
              <a:lnTo>
                <a:pt x="180025" y="423752"/>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C655817-127F-4B65-9B3B-38915029E9A4}">
      <dsp:nvSpPr>
        <dsp:cNvPr id="0" name=""/>
        <dsp:cNvSpPr/>
      </dsp:nvSpPr>
      <dsp:spPr>
        <a:xfrm>
          <a:off x="2475345" y="1347901"/>
          <a:ext cx="1618320" cy="515202"/>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lvl="0" algn="ctr" defTabSz="444500">
            <a:lnSpc>
              <a:spcPct val="90000"/>
            </a:lnSpc>
            <a:spcBef>
              <a:spcPct val="0"/>
            </a:spcBef>
            <a:spcAft>
              <a:spcPct val="35000"/>
            </a:spcAft>
          </a:pPr>
          <a:r>
            <a:rPr lang="en-US" sz="1000" kern="1200">
              <a:latin typeface="Arial" panose="020B0604020202020204" pitchFamily="34" charset="0"/>
              <a:cs typeface="Arial" panose="020B0604020202020204" pitchFamily="34" charset="0"/>
            </a:rPr>
            <a:t>Immigration control</a:t>
          </a:r>
        </a:p>
        <a:p>
          <a:pPr lvl="0" algn="ctr" defTabSz="444500">
            <a:lnSpc>
              <a:spcPct val="90000"/>
            </a:lnSpc>
            <a:spcBef>
              <a:spcPct val="0"/>
            </a:spcBef>
            <a:spcAft>
              <a:spcPct val="35000"/>
            </a:spcAft>
          </a:pPr>
          <a:r>
            <a:rPr lang="en-US" sz="1000" kern="1200">
              <a:latin typeface="Arial" panose="020B0604020202020204" pitchFamily="34" charset="0"/>
              <a:cs typeface="Arial" panose="020B0604020202020204" pitchFamily="34" charset="0"/>
            </a:rPr>
            <a:t>(</a:t>
          </a:r>
          <a:r>
            <a:rPr lang="en-US" sz="1000" b="1" kern="1200">
              <a:latin typeface="Arial" panose="020B0604020202020204" pitchFamily="34" charset="0"/>
              <a:cs typeface="Arial" panose="020B0604020202020204" pitchFamily="34" charset="0"/>
            </a:rPr>
            <a:t>fight against illegal migration</a:t>
          </a:r>
          <a:r>
            <a:rPr lang="en-US" sz="1000" kern="1200">
              <a:latin typeface="Arial" panose="020B0604020202020204" pitchFamily="34" charset="0"/>
              <a:cs typeface="Arial" panose="020B0604020202020204" pitchFamily="34" charset="0"/>
            </a:rPr>
            <a:t>)</a:t>
          </a:r>
        </a:p>
      </dsp:txBody>
      <dsp:txXfrm>
        <a:off x="2490435" y="1362991"/>
        <a:ext cx="1588140" cy="485022"/>
      </dsp:txXfrm>
    </dsp:sp>
    <dsp:sp modelId="{9557E0F6-A6BC-45C5-BD48-7E3506D9EFCA}">
      <dsp:nvSpPr>
        <dsp:cNvPr id="0" name=""/>
        <dsp:cNvSpPr/>
      </dsp:nvSpPr>
      <dsp:spPr>
        <a:xfrm>
          <a:off x="4247854" y="108570"/>
          <a:ext cx="1800257" cy="1063442"/>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1430" rIns="17145" bIns="11430" numCol="1" spcCol="1270" anchor="ctr" anchorCtr="0">
          <a:noAutofit/>
        </a:bodyPr>
        <a:lstStyle/>
        <a:p>
          <a:pPr lvl="0" algn="l" defTabSz="400050">
            <a:lnSpc>
              <a:spcPct val="90000"/>
            </a:lnSpc>
            <a:spcBef>
              <a:spcPct val="0"/>
            </a:spcBef>
            <a:spcAft>
              <a:spcPct val="35000"/>
            </a:spcAft>
          </a:pPr>
          <a:r>
            <a:rPr lang="en-US" sz="900" kern="1200">
              <a:latin typeface="Arial" panose="020B0604020202020204" pitchFamily="34" charset="0"/>
              <a:cs typeface="Arial" panose="020B0604020202020204" pitchFamily="34" charset="0"/>
            </a:rPr>
            <a:t>- Refugee Reception Centre</a:t>
          </a:r>
        </a:p>
        <a:p>
          <a:pPr lvl="0" algn="l" defTabSz="400050">
            <a:lnSpc>
              <a:spcPct val="90000"/>
            </a:lnSpc>
            <a:spcBef>
              <a:spcPct val="0"/>
            </a:spcBef>
            <a:spcAft>
              <a:spcPct val="35000"/>
            </a:spcAft>
          </a:pPr>
          <a:r>
            <a:rPr lang="en-US" sz="900" kern="1200">
              <a:latin typeface="Arial" panose="020B0604020202020204" pitchFamily="34" charset="0"/>
              <a:cs typeface="Arial" panose="020B0604020202020204" pitchFamily="34" charset="0"/>
            </a:rPr>
            <a:t>- Non-governmental organisations</a:t>
          </a:r>
        </a:p>
        <a:p>
          <a:pPr lvl="0" algn="l" defTabSz="400050">
            <a:lnSpc>
              <a:spcPct val="90000"/>
            </a:lnSpc>
            <a:spcBef>
              <a:spcPct val="0"/>
            </a:spcBef>
            <a:spcAft>
              <a:spcPct val="35000"/>
            </a:spcAft>
          </a:pPr>
          <a:r>
            <a:rPr lang="en-US" sz="900" kern="1200">
              <a:latin typeface="Arial" panose="020B0604020202020204" pitchFamily="34" charset="0"/>
              <a:cs typeface="Arial" panose="020B0604020202020204" pitchFamily="34" charset="0"/>
            </a:rPr>
            <a:t>- Municipalities</a:t>
          </a:r>
        </a:p>
      </dsp:txBody>
      <dsp:txXfrm>
        <a:off x="4279001" y="139717"/>
        <a:ext cx="1737963" cy="1001148"/>
      </dsp:txXfrm>
    </dsp:sp>
    <dsp:sp modelId="{AE0D3050-20DB-4751-9805-0B5909068C3F}">
      <dsp:nvSpPr>
        <dsp:cNvPr id="0" name=""/>
        <dsp:cNvSpPr/>
      </dsp:nvSpPr>
      <dsp:spPr>
        <a:xfrm>
          <a:off x="4427880" y="1172013"/>
          <a:ext cx="180025" cy="420266"/>
        </a:xfrm>
        <a:custGeom>
          <a:avLst/>
          <a:gdLst/>
          <a:ahLst/>
          <a:cxnLst/>
          <a:rect l="0" t="0" r="0" b="0"/>
          <a:pathLst>
            <a:path>
              <a:moveTo>
                <a:pt x="0" y="0"/>
              </a:moveTo>
              <a:lnTo>
                <a:pt x="0" y="420266"/>
              </a:lnTo>
              <a:lnTo>
                <a:pt x="180025" y="420266"/>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284F7E9-9406-47B9-B12F-27BA88F05D5B}">
      <dsp:nvSpPr>
        <dsp:cNvPr id="0" name=""/>
        <dsp:cNvSpPr/>
      </dsp:nvSpPr>
      <dsp:spPr>
        <a:xfrm>
          <a:off x="4607906" y="1338165"/>
          <a:ext cx="1618320" cy="508230"/>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lvl="0" algn="ctr" defTabSz="444500">
            <a:lnSpc>
              <a:spcPct val="90000"/>
            </a:lnSpc>
            <a:spcBef>
              <a:spcPct val="0"/>
            </a:spcBef>
            <a:spcAft>
              <a:spcPct val="35000"/>
            </a:spcAft>
          </a:pPr>
          <a:r>
            <a:rPr lang="en-US" sz="1000" b="1" kern="1200">
              <a:latin typeface="Arial" panose="020B0604020202020204" pitchFamily="34" charset="0"/>
              <a:cs typeface="Arial" panose="020B0604020202020204" pitchFamily="34" charset="0"/>
            </a:rPr>
            <a:t>Integration processes</a:t>
          </a:r>
        </a:p>
        <a:p>
          <a:pPr lvl="0" algn="ctr" defTabSz="444500">
            <a:lnSpc>
              <a:spcPct val="90000"/>
            </a:lnSpc>
            <a:spcBef>
              <a:spcPct val="0"/>
            </a:spcBef>
            <a:spcAft>
              <a:spcPct val="35000"/>
            </a:spcAft>
          </a:pPr>
          <a:r>
            <a:rPr lang="en-US" sz="1000" kern="1200">
              <a:latin typeface="Arial" panose="020B0604020202020204" pitchFamily="34" charset="0"/>
              <a:cs typeface="Arial" panose="020B0604020202020204" pitchFamily="34" charset="0"/>
            </a:rPr>
            <a:t>of foreign nationals</a:t>
          </a:r>
        </a:p>
      </dsp:txBody>
      <dsp:txXfrm>
        <a:off x="4622792" y="1353051"/>
        <a:ext cx="1588548" cy="478458"/>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7AB800"/>
      </a:dk2>
      <a:lt2>
        <a:srgbClr val="A5A5A5"/>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14BAD1-CB10-4853-ADE8-9296D6885D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35</Pages>
  <Words>9983</Words>
  <Characters>54912</Characters>
  <Application>Microsoft Office Word</Application>
  <DocSecurity>0</DocSecurity>
  <Lines>457</Lines>
  <Paragraphs>129</Paragraphs>
  <ScaleCrop>false</ScaleCrop>
  <HeadingPairs>
    <vt:vector size="8" baseType="variant">
      <vt:variant>
        <vt:lpstr>Title</vt:lpstr>
      </vt:variant>
      <vt:variant>
        <vt:i4>1</vt:i4>
      </vt:variant>
      <vt:variant>
        <vt:lpstr>Titel</vt:lpstr>
      </vt:variant>
      <vt:variant>
        <vt:i4>1</vt:i4>
      </vt:variant>
      <vt:variant>
        <vt:lpstr>Заглавие</vt:lpstr>
      </vt:variant>
      <vt:variant>
        <vt:i4>1</vt:i4>
      </vt:variant>
      <vt:variant>
        <vt:lpstr>Заглавия</vt:lpstr>
      </vt:variant>
      <vt:variant>
        <vt:i4>11</vt:i4>
      </vt:variant>
    </vt:vector>
  </HeadingPairs>
  <TitlesOfParts>
    <vt:vector size="14" baseType="lpstr">
      <vt:lpstr>1</vt:lpstr>
      <vt:lpstr>1</vt:lpstr>
      <vt:lpstr>1</vt:lpstr>
      <vt:lpstr/>
      <vt:lpstr>Summary Datasheet </vt:lpstr>
      <vt:lpstr/>
      <vt:lpstr>ABBREVIATIONS USED</vt:lpstr>
      <vt:lpstr>Introduction</vt:lpstr>
      <vt:lpstr>    OVERVIEW OF THE LEGAL FRAMEWORK IN bulgaria</vt:lpstr>
      <vt:lpstr>    FRAMEWORK FOR TRANSPOSITION &amp; IMPLEMENTATION OF DIRECTIVE 2012/18/EU IN bulgaria</vt:lpstr>
      <vt:lpstr>        General distribution of competences/Competent authorities</vt:lpstr>
      <vt:lpstr>        Transposition context with regard to Directive 2012/18/EU  </vt:lpstr>
      <vt:lpstr>LEGAL ANALYSIS OF THE TRANSPOSING MEASURES FOR DIRECTIVE 2012/18/EU</vt:lpstr>
      <vt:lpstr>CONCLUSIONS</vt:lpstr>
    </vt:vector>
  </TitlesOfParts>
  <Company>Milieu</Company>
  <LinksUpToDate>false</LinksUpToDate>
  <CharactersWithSpaces>64766</CharactersWithSpaces>
  <SharedDoc>false</SharedDoc>
  <HLinks>
    <vt:vector size="66" baseType="variant">
      <vt:variant>
        <vt:i4>1441854</vt:i4>
      </vt:variant>
      <vt:variant>
        <vt:i4>56</vt:i4>
      </vt:variant>
      <vt:variant>
        <vt:i4>0</vt:i4>
      </vt:variant>
      <vt:variant>
        <vt:i4>5</vt:i4>
      </vt:variant>
      <vt:variant>
        <vt:lpwstr/>
      </vt:variant>
      <vt:variant>
        <vt:lpwstr>_Toc361741818</vt:lpwstr>
      </vt:variant>
      <vt:variant>
        <vt:i4>1441854</vt:i4>
      </vt:variant>
      <vt:variant>
        <vt:i4>50</vt:i4>
      </vt:variant>
      <vt:variant>
        <vt:i4>0</vt:i4>
      </vt:variant>
      <vt:variant>
        <vt:i4>5</vt:i4>
      </vt:variant>
      <vt:variant>
        <vt:lpwstr/>
      </vt:variant>
      <vt:variant>
        <vt:lpwstr>_Toc361741817</vt:lpwstr>
      </vt:variant>
      <vt:variant>
        <vt:i4>1441854</vt:i4>
      </vt:variant>
      <vt:variant>
        <vt:i4>44</vt:i4>
      </vt:variant>
      <vt:variant>
        <vt:i4>0</vt:i4>
      </vt:variant>
      <vt:variant>
        <vt:i4>5</vt:i4>
      </vt:variant>
      <vt:variant>
        <vt:lpwstr/>
      </vt:variant>
      <vt:variant>
        <vt:lpwstr>_Toc361741816</vt:lpwstr>
      </vt:variant>
      <vt:variant>
        <vt:i4>1441854</vt:i4>
      </vt:variant>
      <vt:variant>
        <vt:i4>38</vt:i4>
      </vt:variant>
      <vt:variant>
        <vt:i4>0</vt:i4>
      </vt:variant>
      <vt:variant>
        <vt:i4>5</vt:i4>
      </vt:variant>
      <vt:variant>
        <vt:lpwstr/>
      </vt:variant>
      <vt:variant>
        <vt:lpwstr>_Toc361741815</vt:lpwstr>
      </vt:variant>
      <vt:variant>
        <vt:i4>1441854</vt:i4>
      </vt:variant>
      <vt:variant>
        <vt:i4>32</vt:i4>
      </vt:variant>
      <vt:variant>
        <vt:i4>0</vt:i4>
      </vt:variant>
      <vt:variant>
        <vt:i4>5</vt:i4>
      </vt:variant>
      <vt:variant>
        <vt:lpwstr/>
      </vt:variant>
      <vt:variant>
        <vt:lpwstr>_Toc361741814</vt:lpwstr>
      </vt:variant>
      <vt:variant>
        <vt:i4>1441854</vt:i4>
      </vt:variant>
      <vt:variant>
        <vt:i4>26</vt:i4>
      </vt:variant>
      <vt:variant>
        <vt:i4>0</vt:i4>
      </vt:variant>
      <vt:variant>
        <vt:i4>5</vt:i4>
      </vt:variant>
      <vt:variant>
        <vt:lpwstr/>
      </vt:variant>
      <vt:variant>
        <vt:lpwstr>_Toc361741813</vt:lpwstr>
      </vt:variant>
      <vt:variant>
        <vt:i4>1441854</vt:i4>
      </vt:variant>
      <vt:variant>
        <vt:i4>20</vt:i4>
      </vt:variant>
      <vt:variant>
        <vt:i4>0</vt:i4>
      </vt:variant>
      <vt:variant>
        <vt:i4>5</vt:i4>
      </vt:variant>
      <vt:variant>
        <vt:lpwstr/>
      </vt:variant>
      <vt:variant>
        <vt:lpwstr>_Toc361741812</vt:lpwstr>
      </vt:variant>
      <vt:variant>
        <vt:i4>1441854</vt:i4>
      </vt:variant>
      <vt:variant>
        <vt:i4>14</vt:i4>
      </vt:variant>
      <vt:variant>
        <vt:i4>0</vt:i4>
      </vt:variant>
      <vt:variant>
        <vt:i4>5</vt:i4>
      </vt:variant>
      <vt:variant>
        <vt:lpwstr/>
      </vt:variant>
      <vt:variant>
        <vt:lpwstr>_Toc361741811</vt:lpwstr>
      </vt:variant>
      <vt:variant>
        <vt:i4>1441854</vt:i4>
      </vt:variant>
      <vt:variant>
        <vt:i4>8</vt:i4>
      </vt:variant>
      <vt:variant>
        <vt:i4>0</vt:i4>
      </vt:variant>
      <vt:variant>
        <vt:i4>5</vt:i4>
      </vt:variant>
      <vt:variant>
        <vt:lpwstr/>
      </vt:variant>
      <vt:variant>
        <vt:lpwstr>_Toc361741810</vt:lpwstr>
      </vt:variant>
      <vt:variant>
        <vt:i4>262215</vt:i4>
      </vt:variant>
      <vt:variant>
        <vt:i4>3</vt:i4>
      </vt:variant>
      <vt:variant>
        <vt:i4>0</vt:i4>
      </vt:variant>
      <vt:variant>
        <vt:i4>5</vt:i4>
      </vt:variant>
      <vt:variant>
        <vt:lpwstr>http://www.milieu.be/</vt:lpwstr>
      </vt:variant>
      <vt:variant>
        <vt:lpwstr/>
      </vt:variant>
      <vt:variant>
        <vt:i4>5636145</vt:i4>
      </vt:variant>
      <vt:variant>
        <vt:i4>0</vt:i4>
      </vt:variant>
      <vt:variant>
        <vt:i4>0</vt:i4>
      </vt:variant>
      <vt:variant>
        <vt:i4>5</vt:i4>
      </vt:variant>
      <vt:variant>
        <vt:lpwstr>mailto:julia.lietzmann@milieu.be</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Eva Limburska</dc:creator>
  <cp:lastModifiedBy>Ana Gomez</cp:lastModifiedBy>
  <cp:revision>3</cp:revision>
  <cp:lastPrinted>2018-08-06T10:03:00Z</cp:lastPrinted>
  <dcterms:created xsi:type="dcterms:W3CDTF">2018-08-15T19:06:00Z</dcterms:created>
  <dcterms:modified xsi:type="dcterms:W3CDTF">2018-10-09T09:57:00Z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zotero-version="5.0.47"&gt;&lt;session id="z2PTbzf8"/&gt;&lt;style id="http://www.zotero.org/styles/chicago-fullnote-bibliography" locale="en-US" hasBibliography="1" bibliographyStyleHasBeenSet="0"/&gt;&lt;prefs&gt;&lt;pref name="fieldType" value="Field"/&gt;</vt:lpwstr>
  </property>
  <property fmtid="{D5CDD505-2E9C-101B-9397-08002B2CF9AE}" pid="3" name="ZOTERO_PREF_2">
    <vt:lpwstr>&lt;pref name="automaticJournalAbbreviations" value="true"/&gt;&lt;pref name="noteType" value="1"/&gt;&lt;pref name="dontAskDelayCitationUpdates" value="true"/&gt;&lt;/prefs&gt;&lt;/data&gt;</vt:lpwstr>
  </property>
</Properties>
</file>